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29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PFLICHTQUELLE FÜR SEITE 3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62%"/>
                  <w:tcBorders>
                    <w:top w:val="nil" w:sz="0"/>
                    <w:left w:val="nil" w:sz="0"/>
                    <w:bottom w:val="nil" w:sz="0"/>
                    <w:right w:val="nil" w:sz="0"/>
                  </w:tcBorders>
                  <w:tcMar>
                    <w:top w:type="dxa" w:w="0"/>
                    <w:left w:type="dxa" w:w="0"/>
                    <w:bottom w:type="dxa" w:w="0"/>
                    <w:right w:type="dxa" w:w="140"/>
                  </w:tcMar>
                  <w:vAlign w:val="top"/>
                </w:tcPr>
                <w:p>
                  <w:pPr>
                    <w:spacing w:after="60"/>
                  </w:pPr>
                  <w:r>
                    <w:rPr>
                      <w:b/>
                      <w:bCs/>
                      <w:sz w:val="20"/>
                      <w:szCs w:val="20"/>
                    </w:rPr>
                    <w:t xml:space="preserve">Influencer treiben Online-Käufe bei Jugendlichen in die Höhe</w:t>
                  </w:r>
                  <w:r>
                    <w:rPr>
                      <w:sz w:val="20"/>
                      <w:szCs w:val="20"/>
                    </w:rPr>
                    <w:t xml:space="preserve"> · nau.ch / Keystone-SDA, 15.06.2026</w:t>
                  </w:r>
                </w:p>
                <w:p>
                  <w:pPr>
                    <w:spacing w:after="0"/>
                  </w:pPr>
                  <w:r>
                    <w:rPr>
                      <w:color w:val="4A5057"/>
                      <w:sz w:val="18"/>
                      <w:szCs w:val="18"/>
                    </w:rPr>
                    <w:t xml:space="preserve">Scannen Sie den Code oder tippen Sie die Adresse ein — dort finden Sie den Link zur Quelle. Bearbeitet wird sie auf Seite 3.</w:t>
                  </w:r>
                </w:p>
              </w:tc>
              <w:tc>
                <w:tcPr>
                  <w:tcW w:type="pct" w:w="38%"/>
                  <w:tcBorders>
                    <w:top w:val="nil" w:sz="0"/>
                    <w:left w:val="nil" w:sz="0"/>
                    <w:bottom w:val="nil" w:sz="0"/>
                    <w:right w:val="nil" w:sz="0"/>
                  </w:tcBorders>
                  <w:tcMar>
                    <w:top w:type="dxa" w:w="0"/>
                    <w:left w:type="dxa" w:w="140"/>
                    <w:bottom w:type="dxa" w:w="0"/>
                    <w:right w:type="dxa" w:w="0"/>
                  </w:tcMar>
                  <w:vAlign w:val="center"/>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1.3.1_konsum_verantworten_v42#a</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C0392B"/>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40"/>
              <w:left w:type="dxa" w:w="0"/>
              <w:bottom w:type="dxa" w:w="40"/>
              <w:right w:type="dxa" w:w="0"/>
            </w:tcMar>
          </w:tcPr>
          <w:p>
            <w:pPr>
              <w:spacing w:after="0"/>
            </w:pPr>
            <w:r>
              <w:rPr>
                <w:sz w:val="19"/>
                <w:szCs w:val="19"/>
              </w:rPr>
              <w:t xml:space="preserve">Situation lesen, LF1 und LF2</w:t>
            </w:r>
          </w:p>
        </w:tc>
      </w:tr>
      <w:tr>
        <w:tc>
          <w:tcPr>
            <w:tcW w:type="pct" w:w="26%"/>
            <w:tcBorders>
              <w:top w:val="nil" w:sz="0"/>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40"/>
              <w:left w:type="dxa" w:w="0"/>
              <w:bottom w:type="dxa" w:w="40"/>
              <w:right w:type="dxa" w:w="0"/>
            </w:tcMar>
          </w:tcPr>
          <w:p>
            <w:pPr>
              <w:spacing w:after="0"/>
            </w:pPr>
            <w:r>
              <w:rPr>
                <w:sz w:val="19"/>
                <w:szCs w:val="19"/>
              </w:rPr>
              <w:t xml:space="preserve">LF3 mit Raster zur Quelle, LF4, Landkarte beginnen</w:t>
            </w:r>
          </w:p>
        </w:tc>
      </w:tr>
      <w:tr>
        <w:tc>
          <w:tcPr>
            <w:tcW w:type="pct" w:w="26%"/>
            <w:tcBorders>
              <w:top w:val="nil" w:sz="0"/>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40"/>
              <w:left w:type="dxa" w:w="0"/>
              <w:bottom w:type="dxa" w:w="40"/>
              <w:right w:type="dxa" w:w="0"/>
            </w:tcMar>
          </w:tcPr>
          <w:p>
            <w:pPr>
              <w:spacing w:after="0"/>
            </w:pPr>
            <w:r>
              <w:rPr>
                <w:sz w:val="19"/>
                <w:szCs w:val="19"/>
              </w:rPr>
              <w:t xml:space="preserve">Landkarte fertigstellen, Feedback-Kriterien, Abschluss mit Mindmap</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in dieser Woche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PFLICHTQUELLE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84%"/>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Influencer treiben Online-Käufe bei Jugendlichen in die Höhe</w:t>
                  </w:r>
                </w:p>
                <w:p>
                  <w:pPr>
                    <w:spacing w:after="60"/>
                  </w:pPr>
                  <w:r>
                    <w:rPr>
                      <w:color w:val="4A5057"/>
                      <w:sz w:val="18"/>
                      <w:szCs w:val="18"/>
                    </w:rPr>
                    <w:t xml:space="preserve">nau.ch / Keystone-SDA, 15.06.2026</w:t>
                  </w:r>
                </w:p>
                <w:p>
                  <w:pPr>
                    <w:spacing w:after="60"/>
                  </w:pPr>
                  <w:r>
                    <w:rPr>
                      <w:sz w:val="19"/>
                      <w:szCs w:val="19"/>
                    </w:rPr>
                    <w:t xml:space="preserve">Agenturmeldung zu einer deutschen Studie (10- bis 17-Jährige, 2025): wie Social-Media-Werbung und Influencer Jugendliche auf Produkte bringen und was sie online kaufen.</w:t>
                  </w:r>
                </w:p>
                <w:p>
                  <w:pPr>
                    <w:spacing w:after="0"/>
                  </w:pPr>
                  <w:r>
                    <w:rPr>
                      <w:b/>
                      <w:bCs/>
                      <w:sz w:val="18"/>
                      <w:szCs w:val="18"/>
                    </w:rPr>
                    <w:t xml:space="preserve">Ausschnitt: </w:t>
                  </w:r>
                  <w:r>
                    <w:rPr>
                      <w:color w:val="4A5057"/>
                      <w:sz w:val="18"/>
                      <w:szCs w:val="18"/>
                    </w:rPr>
                    <w:t xml:space="preserve">ganzer Artikel, Absätze 1–8</w:t>
                  </w:r>
                  <w:r>
                    <w:rPr>
                      <w:color w:val="4A5057"/>
                      <w:sz w:val="18"/>
                      <w:szCs w:val="18"/>
                    </w:rPr>
                    <w:t xml:space="preserve"> · </w:t>
                  </w:r>
                  <w:r>
                    <w:rPr>
                      <w:b/>
                      <w:bCs/>
                      <w:sz w:val="18"/>
                      <w:szCs w:val="18"/>
                    </w:rPr>
                    <w:t xml:space="preserve">Länge: </w:t>
                  </w:r>
                  <w:r>
                    <w:rPr>
                      <w:color w:val="4A5057"/>
                      <w:sz w:val="18"/>
                      <w:szCs w:val="18"/>
                    </w:rPr>
                    <w:t xml:space="preserve">421 Wörter</w:t>
                  </w:r>
                </w:p>
              </w:tc>
              <w:tc>
                <w:tcPr>
                  <w:tcW w:type="pct" w:w="16%"/>
                  <w:tcBorders>
                    <w:top w:val="nil" w:sz="0"/>
                    <w:left w:val="nil" w:sz="0"/>
                    <w:bottom w:val="nil" w:sz="0"/>
                    <w:right w:val="nil" w:sz="0"/>
                  </w:tcBorders>
                  <w:tcMar>
                    <w:top w:type="dxa" w:w="0"/>
                    <w:left w:type="dxa" w:w="140"/>
                    <w:bottom w:type="dxa" w:w="0"/>
                    <w:right w:type="dxa" w:w="0"/>
                  </w:tcMar>
                  <w:vAlign w:val="top"/>
                </w:tcPr>
                <w:p>
                  <w:pPr>
                    <w:spacing w:after="2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609600"/>
                                </a:xfrm>
                                <a:prstGeom prst="rect">
                                  <a:avLst/>
                                </a:prstGeom>
                              </pic:spPr>
                            </pic:pic>
                          </a:graphicData>
                        </a:graphic>
                      </wp:inline>
                    </w:drawing>
                  </w:r>
                </w:p>
                <w:p>
                  <w:pPr>
                    <w:spacing w:after="0"/>
                    <w:jc w:val="center"/>
                  </w:pPr>
                  <w:r>
                    <w:rPr>
                      <w:color w:val="8B9099"/>
                      <w:sz w:val="14"/>
                      <w:szCs w:val="14"/>
                    </w:rPr>
                    <w:t xml:space="preserve">Gleicher Code wie auf S. 1</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Lesen Sie den Artikel gemäss QR-Seite. Tragen Sie vier Aussagen ein, die zeigen, über welche Wege Kaufwünsche bei Jugendlichen entstehen.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25%"/>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25%"/>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5%"/>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Zahl</w:t>
            </w:r>
          </w:p>
        </w:tc>
        <w:tc>
          <w:tcPr>
            <w:tcW w:type="pct" w:w="25%"/>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Über welche Wege entstehen laut Quelle Kaufwünsche bei Jugendlichen — und welcher Weg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Pflichtquelle · Raster</w:t>
            </w:r>
            <w:r>
              <w:rPr>
                <w:i/>
                <w:iCs/>
                <w:color w:val="4A5057"/>
                <w:sz w:val="18"/>
                <w:szCs w:val="18"/>
              </w:rPr>
              <w:t xml:space="preserve">   → liefert: Einflüsse mit Beleg</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Zuerst das Raster füllen, dann den Befund schreiben.</w:t>
            </w:r>
          </w:p>
          <w:p>
            <w:pPr>
              <w:pStyle w:val="ListParagraph"/>
              <w:numPr>
                <w:ilvl w:val="0"/>
                <w:numId w:val="1"/>
              </w:numPr>
              <w:spacing w:after="30"/>
            </w:pPr>
            <w:r>
              <w:rPr>
                <w:color w:val="4A5057"/>
                <w:sz w:val="18"/>
                <w:szCs w:val="18"/>
              </w:rPr>
              <w:t xml:space="preserve">Nur Schlüsselwörter ins Raster, keine ganzen Sätze.</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«Die Quelle zeigt, dass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Absatz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Lehrmittel ordnet Bedürfnisse nach Maslow; die Quelle zeigt, wie Wünsche geweckt werden. Kann ein geweckter Wunsch ein echtes Bedürfnis treffen? Entscheiden Sie beim Handy: zusagen oder absagen,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Pflichtquelle</w:t>
            </w:r>
            <w:r>
              <w:rPr>
                <w:i/>
                <w:iCs/>
                <w:color w:val="4A5057"/>
                <w:sz w:val="18"/>
                <w:szCs w:val="18"/>
              </w:rPr>
              <w:t xml:space="preserve">   → liefert: Massstab-Satz und Entscheid zum Handy</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Prüfen Sie zuerst beide Seiten, dann entscheiden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das Bedürfnis nach …»</w:t>
            </w:r>
          </w:p>
          <w:p>
            <w:pPr>
              <w:spacing w:after="30"/>
            </w:pPr>
            <w:r>
              <w:rPr>
                <w:i/>
                <w:iCs/>
                <w:color w:val="4A5057"/>
                <w:sz w:val="18"/>
                <w:szCs w:val="18"/>
              </w:rPr>
              <w:t xml:space="preserve">«Die Quelle zeigt, dass … — bei mir heisst das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single" w:color="4A5057" w:sz="6"/>
                    <w:left w:val="single" w:color="4A5057" w:sz="6"/>
                    <w:bottom w:val="single" w:color="4A5057" w:sz="6"/>
                    <w:right w:val="single" w:color="4A5057" w:sz="6"/>
                  </w:tcBorders>
                  <w:tcMar>
                    <w:top w:type="dxa" w:w="80"/>
                    <w:left w:type="dxa" w:w="120"/>
                    <w:bottom w:type="dxa" w:w="80"/>
                    <w:right w:type="dxa" w:w="120"/>
                  </w:tcMar>
                </w:tcPr>
                <w:p>
                  <w:pPr>
                    <w:spacing w:after="20"/>
                  </w:pPr>
                  <w:r>
                    <w:rPr>
                      <w:rFonts w:ascii="Consolas" w:cs="Consolas" w:eastAsia="Consolas" w:hAnsi="Consolas"/>
                      <w:b/>
                      <w:bCs/>
                      <w:color w:val="4A5057"/>
                      <w:sz w:val="14"/>
                      <w:szCs w:val="14"/>
                    </w:rPr>
                    <w:t xml:space="preserve">AUDIO · 5:54 MIN</w:t>
                  </w:r>
                </w:p>
                <w:p>
                  <w:pPr>
                    <w:spacing w:after="20"/>
                  </w:pPr>
                  <w:r>
                    <w:rPr>
                      <w:b/>
                      <w:bCs/>
                      <w:sz w:val="20"/>
                      <w:szCs w:val="20"/>
                    </w:rPr>
                    <w:t xml:space="preserve">So erkennt man Influencer-Werbung</w:t>
                  </w:r>
                </w:p>
                <w:p>
                  <w:pPr>
                    <w:spacing w:after="60"/>
                  </w:pPr>
                  <w:r>
                    <w:rPr>
                      <w:color w:val="4A5057"/>
                      <w:sz w:val="18"/>
                      <w:szCs w:val="18"/>
                    </w:rPr>
                    <w:t xml:space="preserve">SRF Ratgeber, 23.08.2023</w:t>
                  </w:r>
                </w:p>
                <w:p>
                  <w:pPr>
                    <w:spacing w:after="0"/>
                  </w:pPr>
                  <w:r>
                    <w:rPr>
                      <w:i/>
                      <w:iCs/>
                      <w:sz w:val="19"/>
                      <w:szCs w:val="19"/>
                    </w:rPr>
                    <w:t xml:space="preserve">Woran erkenne ich bezahlte Werbung in meinem Feed, auch wenn sie nicht gekennzeichnet ist?</w:t>
                  </w:r>
                </w:p>
              </w:tc>
              <w:tc>
                <w:tcPr>
                  <w:tcW w:type="pct" w:w="50%"/>
                  <w:tcBorders>
                    <w:top w:val="single" w:color="4A5057" w:sz="6"/>
                    <w:left w:val="single" w:color="4A5057" w:sz="6"/>
                    <w:bottom w:val="single" w:color="4A5057" w:sz="6"/>
                    <w:right w:val="single" w:color="4A5057" w:sz="6"/>
                  </w:tcBorders>
                  <w:tcMar>
                    <w:top w:type="dxa" w:w="80"/>
                    <w:left w:type="dxa" w:w="120"/>
                    <w:bottom w:type="dxa" w:w="80"/>
                    <w:right w:type="dxa" w:w="120"/>
                  </w:tcMar>
                </w:tcPr>
                <w:p>
                  <w:pPr>
                    <w:spacing w:after="20"/>
                  </w:pPr>
                  <w:r>
                    <w:rPr>
                      <w:rFonts w:ascii="Consolas" w:cs="Consolas" w:eastAsia="Consolas" w:hAnsi="Consolas"/>
                      <w:b/>
                      <w:bCs/>
                      <w:color w:val="4A5057"/>
                      <w:sz w:val="14"/>
                      <w:szCs w:val="14"/>
                    </w:rPr>
                    <w:t xml:space="preserve">VIDEO · 5:54 MIN</w:t>
                  </w:r>
                </w:p>
                <w:p>
                  <w:pPr>
                    <w:spacing w:after="20"/>
                  </w:pPr>
                  <w:r>
                    <w:rPr>
                      <w:b/>
                      <w:bCs/>
                      <w:sz w:val="20"/>
                      <w:szCs w:val="20"/>
                    </w:rPr>
                    <w:t xml:space="preserve">Designer-Fälschungen – So funktioniert das illegale Business mit Fakes</w:t>
                  </w:r>
                </w:p>
                <w:p>
                  <w:pPr>
                    <w:spacing w:after="60"/>
                  </w:pPr>
                  <w:r>
                    <w:rPr>
                      <w:color w:val="4A5057"/>
                      <w:sz w:val="18"/>
                      <w:szCs w:val="18"/>
                    </w:rPr>
                    <w:t xml:space="preserve">SRF Impact, 10.01.2024</w:t>
                  </w:r>
                </w:p>
                <w:p>
                  <w:pPr>
                    <w:spacing w:after="0"/>
                  </w:pPr>
                  <w:r>
                    <w:rPr>
                      <w:i/>
                      <w:iCs/>
                      <w:sz w:val="19"/>
                      <w:szCs w:val="19"/>
                    </w:rPr>
                    <w:t xml:space="preserve">Welches Bedürfnis steckt hinter gefälschten Markenartikeln — und was riskiert, wer sie bestellt?</w:t>
                  </w:r>
                </w:p>
              </w:tc>
            </w:tr>
          </w:tbl>
          <w:p>
            <w:pPr>
              <w:spacing w:after="0" w:before="80"/>
            </w:pPr>
            <w:r>
              <w:rPr>
                <w:color w:val="4A5057"/>
                <w:sz w:val="18"/>
                <w:szCs w:val="18"/>
              </w:rPr>
              <w:t xml:space="preserve">Die Links zu beiden Quellen stehen auf der QR-Seite (Code auf Seite 1).</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der Pflichtquelle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Bedürfnisarten</w:t>
            </w:r>
          </w:p>
          <w:p>
            <w:pPr>
              <w:pStyle w:val="ListParagraph"/>
              <w:numPr>
                <w:ilvl w:val="0"/>
                <w:numId w:val="1"/>
              </w:numPr>
              <w:spacing w:after="10"/>
            </w:pPr>
            <w:r>
              <w:rPr>
                <w:sz w:val="17"/>
                <w:szCs w:val="17"/>
              </w:rPr>
              <w:t xml:space="preserve">Existenz / Wahl</w:t>
            </w:r>
          </w:p>
          <w:p>
            <w:pPr>
              <w:pStyle w:val="ListParagraph"/>
              <w:numPr>
                <w:ilvl w:val="0"/>
                <w:numId w:val="1"/>
              </w:numPr>
              <w:spacing w:after="10"/>
            </w:pPr>
            <w:r>
              <w:rPr>
                <w:sz w:val="17"/>
                <w:szCs w:val="17"/>
              </w:rPr>
              <w:t xml:space="preserve">Maslow-Stufen</w:t>
            </w:r>
          </w:p>
          <w:p>
            <w:pPr>
              <w:pStyle w:val="ListParagraph"/>
              <w:numPr>
                <w:ilvl w:val="0"/>
                <w:numId w:val="1"/>
              </w:numPr>
              <w:spacing w:after="10"/>
            </w:pPr>
            <w:r>
              <w:rPr>
                <w:sz w:val="17"/>
                <w:szCs w:val="17"/>
              </w:rPr>
              <w:t xml:space="preserve">Bedürfnis ≠ Gut</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Was mich beeinflusst</w:t>
            </w:r>
          </w:p>
          <w:p>
            <w:pPr>
              <w:pStyle w:val="ListParagraph"/>
              <w:numPr>
                <w:ilvl w:val="0"/>
                <w:numId w:val="1"/>
              </w:numPr>
              <w:spacing w:after="10"/>
            </w:pPr>
            <w:r>
              <w:rPr>
                <w:sz w:val="17"/>
                <w:szCs w:val="17"/>
              </w:rPr>
              <w:t xml:space="preserve">Feed und Werbung</w:t>
            </w:r>
          </w:p>
          <w:p>
            <w:pPr>
              <w:pStyle w:val="ListParagraph"/>
              <w:numPr>
                <w:ilvl w:val="0"/>
                <w:numId w:val="1"/>
              </w:numPr>
              <w:spacing w:after="10"/>
            </w:pPr>
            <w:r>
              <w:rPr>
                <w:sz w:val="17"/>
                <w:szCs w:val="17"/>
              </w:rPr>
              <w:t xml:space="preserve">Klasse, Kollegen</w:t>
            </w:r>
          </w:p>
          <w:p>
            <w:pPr>
              <w:pStyle w:val="ListParagraph"/>
              <w:numPr>
                <w:ilvl w:val="0"/>
                <w:numId w:val="1"/>
              </w:numPr>
              <w:spacing w:after="10"/>
            </w:pPr>
            <w:r>
              <w:rPr>
                <w:sz w:val="17"/>
                <w:szCs w:val="17"/>
              </w:rPr>
              <w:t xml:space="preserve">Impulskauf</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C0392B" w:sz="12"/>
              <w:left w:val="single" w:color="C0392B" w:sz="12"/>
              <w:bottom w:val="single" w:color="C0392B" w:sz="12"/>
              <w:right w:val="single" w:color="C0392B"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C0392B" w:sz="24"/>
              <w:bottom w:val="single" w:color="D8DBE0" w:sz="4"/>
              <w:right w:val="single" w:color="D8DBE0" w:sz="4"/>
            </w:tcBorders>
            <w:tcMar>
              <w:top w:type="dxa" w:w="80"/>
              <w:left w:type="dxa" w:w="100"/>
              <w:bottom w:type="dxa" w:w="80"/>
              <w:right w:type="dxa" w:w="100"/>
            </w:tcMar>
            <w:vAlign w:val="center"/>
          </w:tcPr>
          <w:p>
            <w:pPr>
              <w:spacing w:after="40"/>
            </w:pPr>
            <w:r>
              <w:rPr>
                <w:b/>
                <w:bCs/>
                <w:color w:val="C0392B"/>
                <w:sz w:val="19"/>
                <w:szCs w:val="19"/>
              </w:rPr>
              <w:t xml:space="preserve">Mein Massstab</w:t>
            </w:r>
          </w:p>
          <w:p>
            <w:pPr>
              <w:pStyle w:val="ListParagraph"/>
              <w:numPr>
                <w:ilvl w:val="0"/>
                <w:numId w:val="1"/>
              </w:numPr>
              <w:spacing w:after="10"/>
            </w:pPr>
            <w:r>
              <w:rPr>
                <w:sz w:val="17"/>
                <w:szCs w:val="17"/>
              </w:rPr>
              <w:t xml:space="preserve">Prüffrage</w:t>
            </w:r>
          </w:p>
          <w:p>
            <w:pPr>
              <w:pStyle w:val="ListParagraph"/>
              <w:numPr>
                <w:ilvl w:val="0"/>
                <w:numId w:val="1"/>
              </w:numPr>
              <w:spacing w:after="10"/>
            </w:pPr>
            <w:r>
              <w:rPr>
                <w:sz w:val="17"/>
                <w:szCs w:val="17"/>
              </w:rPr>
              <w:t xml:space="preserve">echt / geweckt</w:t>
            </w:r>
          </w:p>
          <w:p>
            <w:pPr>
              <w:pStyle w:val="ListParagraph"/>
              <w:numPr>
                <w:ilvl w:val="0"/>
                <w:numId w:val="1"/>
              </w:numPr>
              <w:spacing w:after="10"/>
            </w:pPr>
            <w:r>
              <w:rPr>
                <w:sz w:val="17"/>
                <w:szCs w:val="17"/>
              </w:rPr>
              <w:t xml:space="preserve">Entscheid Handy</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C0392B" w:sz="4"/>
              <w:left w:val="nil" w:sz="0"/>
              <w:bottom w:val="single" w:color="C0392B" w:sz="12"/>
              <w:right w:val="nil" w:sz="0"/>
            </w:tcBorders>
            <w:shd w:color="FFFFFF" w:val="solid"/>
            <w:tcMar>
              <w:top w:type="dxa" w:w="80"/>
              <w:left w:type="dxa" w:w="100"/>
              <w:bottom w:type="dxa" w:w="80"/>
              <w:right w:type="dxa" w:w="100"/>
            </w:tcMar>
          </w:tcPr>
          <w:p>
            <w:pPr>
              <w:spacing w:after="60" w:line="280" w:lineRule="auto"/>
            </w:pPr>
            <w:r>
              <w:rPr>
                <w:b/>
                <w:bCs/>
                <w:color w:val="C0392B"/>
                <w:sz w:val="14"/>
                <w:szCs w:val="14"/>
              </w:rPr>
              <w:t xml:space="preserve">PRODUKT</w:t>
            </w:r>
          </w:p>
        </w:tc>
        <w:tc>
          <w:tcPr>
            <w:tcW w:type="pct" w:w="70%"/>
            <w:tcBorders>
              <w:top w:val="single" w:color="C0392B" w:sz="4"/>
              <w:left w:val="nil" w:sz="0"/>
              <w:bottom w:val="single" w:color="C0392B" w:sz="12"/>
              <w:right w:val="nil" w:sz="0"/>
            </w:tcBorders>
            <w:shd w:color="FFFFFF" w:val="solid"/>
            <w:tcMar>
              <w:top w:type="dxa" w:w="80"/>
              <w:left w:type="dxa" w:w="100"/>
              <w:bottom w:type="dxa" w:w="80"/>
              <w:right w:type="dxa" w:w="100"/>
            </w:tcMar>
          </w:tcPr>
          <w:p>
            <w:pPr>
              <w:spacing w:after="60" w:line="280" w:lineRule="auto"/>
            </w:pPr>
            <w:r>
              <w:rPr>
                <w:b/>
                <w:bCs/>
                <w:color w:val="C0392B"/>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trennt Gut und Bedürfnis an einem Beispiel</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fünf Einträge im Dreischritt</w:t>
            </w:r>
            <w:r>
              <w:rPr>
                <w:b/>
                <w:bCs/>
                <w:color w:val="000000"/>
                <w:sz w:val="18"/>
                <w:szCs w:val="18"/>
              </w:rPr>
              <w:t xml:space="preserve">   ☐</w:t>
            </w:r>
          </w:p>
          <w:p>
            <w:pPr>
              <w:spacing w:after="20"/>
            </w:pPr>
            <w:r>
              <w:rPr>
                <w:b/>
                <w:bCs/>
                <w:color w:val="000000"/>
                <w:sz w:val="16"/>
                <w:szCs w:val="16"/>
              </w:rPr>
              <w:t xml:space="preserve">✔ </w:t>
            </w:r>
            <w:r>
              <w:rPr>
                <w:sz w:val="16"/>
                <w:szCs w:val="16"/>
              </w:rPr>
              <w:t xml:space="preserve">LF4 prüft beide Seiten und entscheidet</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mit vier Zeilen und Beleg</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Landkarte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 8 Einträge</w:t>
            </w:r>
            <w:r>
              <w:rPr>
                <w:b/>
                <w:bCs/>
                <w:color w:val="000000"/>
                <w:sz w:val="18"/>
                <w:szCs w:val="18"/>
              </w:rPr>
              <w:t xml:space="preserve">   ☐</w:t>
            </w:r>
          </w:p>
          <w:p>
            <w:pPr>
              <w:spacing w:after="20"/>
            </w:pPr>
            <w:r>
              <w:rPr>
                <w:b/>
                <w:bCs/>
                <w:color w:val="000000"/>
                <w:sz w:val="16"/>
                <w:szCs w:val="16"/>
              </w:rPr>
              <w:t xml:space="preserve">✔ </w:t>
            </w:r>
            <w:r>
              <w:rPr>
                <w:sz w:val="16"/>
                <w:szCs w:val="16"/>
              </w:rPr>
              <w:t xml:space="preserve">Legende mit drei Markierungen angewendet</w:t>
            </w:r>
            <w:r>
              <w:rPr>
                <w:b/>
                <w:bCs/>
                <w:color w:val="000000"/>
                <w:sz w:val="18"/>
                <w:szCs w:val="18"/>
              </w:rPr>
              <w:t xml:space="preserve">   ☐</w:t>
            </w:r>
          </w:p>
          <w:p>
            <w:pPr>
              <w:spacing w:after="20"/>
            </w:pPr>
            <w:r>
              <w:rPr>
                <w:b/>
                <w:bCs/>
                <w:color w:val="000000"/>
                <w:sz w:val="16"/>
                <w:szCs w:val="16"/>
              </w:rPr>
              <w:t xml:space="preserve">✔ </w:t>
            </w:r>
            <w:r>
              <w:rPr>
                <w:sz w:val="16"/>
                <w:szCs w:val="16"/>
              </w:rPr>
              <w:t xml:space="preserve">Massstab-Satz und Entscheid am Rand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dc6f1aa0c031f41eb36ed4cbfcd62cf48e140f6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MIT MEDIEN</dc:description>
  <cp:lastModifiedBy>Un-named</cp:lastModifiedBy>
  <cp:revision>1</cp:revision>
  <dcterms:created xsi:type="dcterms:W3CDTF">2026-10-02T03:17:06.974Z</dcterms:created>
  <dcterms:modified xsi:type="dcterms:W3CDTF">2026-10-02T03:17:06.974Z</dcterms:modified>
</cp:coreProperties>
</file>

<file path=docProps/custom.xml><?xml version="1.0" encoding="utf-8"?>
<Properties xmlns="http://schemas.openxmlformats.org/officeDocument/2006/custom-properties" xmlns:vt="http://schemas.openxmlformats.org/officeDocument/2006/docPropsVTypes"/>
</file>