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0FF00" w:sz="22" w:space="2"/>
        </w:pBdr>
        <w:spacing w:after="80" w:before="0"/>
      </w:pPr>
      <w:r>
        <w:rPr>
          <w:rFonts w:ascii="Source Sans 3" w:cs="Source Sans 3" w:eastAsia="Source Sans 3" w:hAnsi="Source Sans 3"/>
          <w:b/>
          <w:bCs/>
          <w:color w:val="5A9D14"/>
          <w:spacing w:val="30"/>
          <w:sz w:val="19"/>
          <w:szCs w:val="19"/>
        </w:rPr>
        <w:t xml:space="preserve">KOMPETENZ 1.3 — ICH KANN MEINE KONSUM- UND GELDENTSCHEIDUNGEN SO TREFFEN UND BEGRÜNDEN, DASS ICH ZWISCHEN MEINEN MOMENTANEN WÜNSCHEN UND MEINER LANGFRISTIGEN FINANZIELLEN SICHERHEIT BEWUSST ABWÄGE.</w:t>
      </w:r>
    </w:p>
    <w:p>
      <w:pPr>
        <w:pStyle w:val="Heading1"/>
        <w:spacing w:after="80" w:before="120"/>
      </w:pPr>
      <w:r>
        <w:rPr>
          <w:rFonts w:ascii="Source Serif 4" w:cs="Source Serif 4" w:eastAsia="Source Serif 4" w:hAnsi="Source Serif 4"/>
          <w:b/>
          <w:bCs/>
          <w:color w:val="1A1A1A"/>
          <w:sz w:val="44"/>
          <w:szCs w:val="44"/>
        </w:rPr>
        <w:t xml:space="preserve">Begleit-Dokument — Konsum verantworten, Version 4.2 (1.3)</w:t>
      </w:r>
    </w:p>
    <w:p>
      <w:pPr>
        <w:spacing w:after="140" w:before="0"/>
      </w:pPr>
      <w:r>
        <w:rPr>
          <w:rFonts w:ascii="Source Serif 4" w:cs="Source Serif 4" w:eastAsia="Source Serif 4" w:hAnsi="Source Serif 4"/>
          <w:i/>
          <w:iCs/>
          <w:color w:val="4A4A4A"/>
          <w:sz w:val="24"/>
          <w:szCs w:val="24"/>
        </w:rPr>
        <w:t xml:space="preserve">Zwei Hefte in zwei Spuren, ein gemeinsamer Auftrag, ein Kompetenznachweis</w:t>
      </w:r>
    </w:p>
    <w:p>
      <w:pPr>
        <w:pBdr>
          <w:bottom w:val="single" w:color="DCDCDC" w:sz="6" w:space="8"/>
        </w:pBdr>
        <w:spacing w:after="240" w:before="60"/>
      </w:pPr>
      <w:r>
        <w:rPr>
          <w:b/>
          <w:bCs/>
          <w:color w:val="4A4A4A"/>
          <w:sz w:val="19"/>
          <w:szCs w:val="19"/>
        </w:rPr>
        <w:t xml:space="preserve">Thema: </w:t>
      </w:r>
      <w:r>
        <w:rPr>
          <w:color w:val="7A7A7A"/>
          <w:sz w:val="19"/>
          <w:szCs w:val="19"/>
        </w:rPr>
        <w:t xml:space="preserve">T1 — Ins Berufsleben einsteigen</w:t>
      </w:r>
      <w:r>
        <w:rPr>
          <w:sz w:val="19"/>
          <w:szCs w:val="19"/>
        </w:rPr>
        <w:t xml:space="preserve">    </w:t>
      </w:r>
      <w:r>
        <w:rPr>
          <w:b/>
          <w:bCs/>
          <w:color w:val="4A4A4A"/>
          <w:sz w:val="19"/>
          <w:szCs w:val="19"/>
        </w:rPr>
        <w:t xml:space="preserve">Lehrperson: </w:t>
      </w:r>
      <w:r>
        <w:rPr>
          <w:color w:val="7A7A7A"/>
          <w:sz w:val="19"/>
          <w:szCs w:val="19"/>
        </w:rPr>
        <w:t xml:space="preserve">Kernteam 1 — BBW Winterthur</w:t>
      </w:r>
      <w:r>
        <w:rPr>
          <w:sz w:val="19"/>
          <w:szCs w:val="19"/>
        </w:rPr>
        <w:t xml:space="preserve">    </w:t>
      </w:r>
      <w:r>
        <w:rPr>
          <w:b/>
          <w:bCs/>
          <w:color w:val="4A4A4A"/>
          <w:sz w:val="19"/>
          <w:szCs w:val="19"/>
        </w:rPr>
        <w:t xml:space="preserve">Stand: </w:t>
      </w:r>
      <w:r>
        <w:rPr>
          <w:color w:val="7A7A7A"/>
          <w:sz w:val="19"/>
          <w:szCs w:val="19"/>
        </w:rPr>
        <w:t xml:space="preserve">2026-10-02</w:t>
      </w:r>
      <w:r>
        <w:rPr>
          <w:sz w:val="19"/>
          <w:szCs w:val="19"/>
        </w:rPr>
        <w:t xml:space="preserve">    </w:t>
      </w:r>
      <w:r>
        <w:rPr>
          <w:b/>
          <w:bCs/>
          <w:color w:val="4A4A4A"/>
          <w:sz w:val="19"/>
          <w:szCs w:val="19"/>
        </w:rPr>
        <w:t xml:space="preserve">Version: </w:t>
      </w:r>
      <w:r>
        <w:rPr>
          <w:color w:val="7A7A7A"/>
          <w:sz w:val="19"/>
          <w:szCs w:val="19"/>
        </w:rPr>
        <w:t xml:space="preserve">2.2.0</w:t>
      </w:r>
    </w:p>
    <w:p>
      <w:pPr>
        <w:spacing w:after="120" w:before="0"/>
      </w:pPr>
      <w:r>
        <w:rPr>
          <w:rFonts w:ascii="Source Sans 3" w:cs="Source Sans 3" w:eastAsia="Source Sans 3" w:hAnsi="Source Sans 3"/>
          <w:b/>
          <w:bCs/>
          <w:color w:val="5A9D14"/>
          <w:spacing w:val="24"/>
          <w:sz w:val="19"/>
          <w:szCs w:val="19"/>
        </w:rPr>
        <w:t xml:space="preserve">INHALT</w:t>
      </w:r>
    </w:p>
    <w:p>
      <w:pPr>
        <w:spacing w:after="30" w:before="30" w:line="300"/>
        <w:ind w:left="280" w:hanging="280"/>
      </w:pPr>
      <w:hyperlink w:history="1" w:anchor="chap-0">
        <w:r>
          <w:rPr>
            <w:rFonts w:ascii="Source Sans 3" w:cs="Source Sans 3" w:eastAsia="Source Sans 3" w:hAnsi="Source Sans 3"/>
            <w:b/>
            <w:bCs/>
            <w:color w:val="5A9D14"/>
            <w:sz w:val="21"/>
            <w:szCs w:val="21"/>
          </w:rPr>
          <w:t xml:space="preserve">1.  </w:t>
        </w:r>
        <w:r>
          <w:rPr>
            <w:rFonts w:ascii="Source Sans 3" w:cs="Source Sans 3" w:eastAsia="Source Sans 3" w:hAnsi="Source Sans 3"/>
            <w:color w:val="1A1A1A"/>
            <w:sz w:val="21"/>
            <w:szCs w:val="21"/>
            <w:u w:val="single" w:color="DCDCDC"/>
          </w:rPr>
          <w:t xml:space="preserve">0. Die Einheit in einem Blick</w:t>
        </w:r>
      </w:hyperlink>
    </w:p>
    <w:p>
      <w:pPr>
        <w:spacing w:after="30" w:before="30" w:line="300"/>
        <w:ind w:left="280" w:hanging="280"/>
      </w:pPr>
      <w:hyperlink w:history="1" w:anchor="chap-1">
        <w:r>
          <w:rPr>
            <w:rFonts w:ascii="Source Sans 3" w:cs="Source Sans 3" w:eastAsia="Source Sans 3" w:hAnsi="Source Sans 3"/>
            <w:b/>
            <w:bCs/>
            <w:color w:val="5A9D14"/>
            <w:sz w:val="21"/>
            <w:szCs w:val="21"/>
          </w:rPr>
          <w:t xml:space="preserve">2.  </w:t>
        </w:r>
        <w:r>
          <w:rPr>
            <w:rFonts w:ascii="Source Sans 3" w:cs="Source Sans 3" w:eastAsia="Source Sans 3" w:hAnsi="Source Sans 3"/>
            <w:color w:val="1A1A1A"/>
            <w:sz w:val="21"/>
            <w:szCs w:val="21"/>
            <w:u w:val="single" w:color="DCDCDC"/>
          </w:rPr>
          <w:t xml:space="preserve">1. Zeitplan: ein Vorschlag für zwölf Lektionen</w:t>
        </w:r>
      </w:hyperlink>
    </w:p>
    <w:p>
      <w:pPr>
        <w:spacing w:after="30" w:before="30" w:line="300"/>
        <w:ind w:left="280" w:hanging="280"/>
      </w:pPr>
      <w:hyperlink w:history="1" w:anchor="chap-2">
        <w:r>
          <w:rPr>
            <w:rFonts w:ascii="Source Sans 3" w:cs="Source Sans 3" w:eastAsia="Source Sans 3" w:hAnsi="Source Sans 3"/>
            <w:b/>
            <w:bCs/>
            <w:color w:val="5A9D14"/>
            <w:sz w:val="21"/>
            <w:szCs w:val="21"/>
          </w:rPr>
          <w:t xml:space="preserve">3.  </w:t>
        </w:r>
        <w:r>
          <w:rPr>
            <w:rFonts w:ascii="Source Sans 3" w:cs="Source Sans 3" w:eastAsia="Source Sans 3" w:hAnsi="Source Sans 3"/>
            <w:color w:val="1A1A1A"/>
            <w:sz w:val="21"/>
            <w:szCs w:val="21"/>
            <w:u w:val="single" w:color="DCDCDC"/>
          </w:rPr>
          <w:t xml:space="preserve">2. Zwei Spuren: ohne Medien und mit Medien</w:t>
        </w:r>
      </w:hyperlink>
    </w:p>
    <w:p>
      <w:pPr>
        <w:spacing w:after="30" w:before="30" w:line="300"/>
        <w:ind w:left="280" w:hanging="280"/>
      </w:pPr>
      <w:hyperlink w:history="1" w:anchor="chap-3">
        <w:r>
          <w:rPr>
            <w:rFonts w:ascii="Source Sans 3" w:cs="Source Sans 3" w:eastAsia="Source Sans 3" w:hAnsi="Source Sans 3"/>
            <w:b/>
            <w:bCs/>
            <w:color w:val="5A9D14"/>
            <w:sz w:val="21"/>
            <w:szCs w:val="21"/>
          </w:rPr>
          <w:t xml:space="preserve">4.  </w:t>
        </w:r>
        <w:r>
          <w:rPr>
            <w:rFonts w:ascii="Source Sans 3" w:cs="Source Sans 3" w:eastAsia="Source Sans 3" w:hAnsi="Source Sans 3"/>
            <w:color w:val="1A1A1A"/>
            <w:sz w:val="21"/>
            <w:szCs w:val="21"/>
            <w:u w:val="single" w:color="DCDCDC"/>
          </w:rPr>
          <w:t xml:space="preserve">3. Herausforderung A — Bedürfnisse ordnen</w:t>
        </w:r>
      </w:hyperlink>
    </w:p>
    <w:p>
      <w:pPr>
        <w:spacing w:after="30" w:before="30" w:line="300"/>
        <w:ind w:left="280" w:hanging="280"/>
      </w:pPr>
      <w:hyperlink w:history="1" w:anchor="chap-4">
        <w:r>
          <w:rPr>
            <w:rFonts w:ascii="Source Sans 3" w:cs="Source Sans 3" w:eastAsia="Source Sans 3" w:hAnsi="Source Sans 3"/>
            <w:b/>
            <w:bCs/>
            <w:color w:val="5A9D14"/>
            <w:sz w:val="21"/>
            <w:szCs w:val="21"/>
          </w:rPr>
          <w:t xml:space="preserve">5.  </w:t>
        </w:r>
        <w:r>
          <w:rPr>
            <w:rFonts w:ascii="Source Sans 3" w:cs="Source Sans 3" w:eastAsia="Source Sans 3" w:hAnsi="Source Sans 3"/>
            <w:color w:val="1A1A1A"/>
            <w:sz w:val="21"/>
            <w:szCs w:val="21"/>
            <w:u w:val="single" w:color="DCDCDC"/>
          </w:rPr>
          <w:t xml:space="preserve">4. Herausforderung B — Budget planen und Schulden vermeiden</w:t>
        </w:r>
      </w:hyperlink>
    </w:p>
    <w:p>
      <w:pPr>
        <w:spacing w:after="30" w:before="30" w:line="300"/>
        <w:ind w:left="280" w:hanging="280"/>
      </w:pPr>
      <w:hyperlink w:history="1" w:anchor="chap-5">
        <w:r>
          <w:rPr>
            <w:rFonts w:ascii="Source Sans 3" w:cs="Source Sans 3" w:eastAsia="Source Sans 3" w:hAnsi="Source Sans 3"/>
            <w:b/>
            <w:bCs/>
            <w:color w:val="5A9D14"/>
            <w:sz w:val="21"/>
            <w:szCs w:val="21"/>
          </w:rPr>
          <w:t xml:space="preserve">6.  </w:t>
        </w:r>
        <w:r>
          <w:rPr>
            <w:rFonts w:ascii="Source Sans 3" w:cs="Source Sans 3" w:eastAsia="Source Sans 3" w:hAnsi="Source Sans 3"/>
            <w:color w:val="1A1A1A"/>
            <w:sz w:val="21"/>
            <w:szCs w:val="21"/>
            <w:u w:val="single" w:color="DCDCDC"/>
          </w:rPr>
          <w:t xml:space="preserve">5. Quellen-Stand</w:t>
        </w:r>
      </w:hyperlink>
    </w:p>
    <w:p>
      <w:pPr>
        <w:spacing w:after="30" w:before="30" w:line="300"/>
        <w:ind w:left="280" w:hanging="280"/>
      </w:pPr>
      <w:hyperlink w:history="1" w:anchor="chap-6">
        <w:r>
          <w:rPr>
            <w:rFonts w:ascii="Source Sans 3" w:cs="Source Sans 3" w:eastAsia="Source Sans 3" w:hAnsi="Source Sans 3"/>
            <w:b/>
            <w:bCs/>
            <w:color w:val="5A9D14"/>
            <w:sz w:val="21"/>
            <w:szCs w:val="21"/>
          </w:rPr>
          <w:t xml:space="preserve">7.  </w:t>
        </w:r>
        <w:r>
          <w:rPr>
            <w:rFonts w:ascii="Source Sans 3" w:cs="Source Sans 3" w:eastAsia="Source Sans 3" w:hAnsi="Source Sans 3"/>
            <w:color w:val="1A1A1A"/>
            <w:sz w:val="21"/>
            <w:szCs w:val="21"/>
            <w:u w:val="single" w:color="DCDCDC"/>
          </w:rPr>
          <w:t xml:space="preserve">6. Gemeinsamer Auftrag «Alle kommen ans Openair»</w:t>
        </w:r>
      </w:hyperlink>
    </w:p>
    <w:p>
      <w:pPr>
        <w:spacing w:after="30" w:before="30" w:line="300"/>
        <w:ind w:left="280" w:hanging="280"/>
      </w:pPr>
      <w:hyperlink w:history="1" w:anchor="chap-7">
        <w:r>
          <w:rPr>
            <w:rFonts w:ascii="Source Sans 3" w:cs="Source Sans 3" w:eastAsia="Source Sans 3" w:hAnsi="Source Sans 3"/>
            <w:b/>
            <w:bCs/>
            <w:color w:val="5A9D14"/>
            <w:sz w:val="21"/>
            <w:szCs w:val="21"/>
          </w:rPr>
          <w:t xml:space="preserve">8.  </w:t>
        </w:r>
        <w:r>
          <w:rPr>
            <w:rFonts w:ascii="Source Sans 3" w:cs="Source Sans 3" w:eastAsia="Source Sans 3" w:hAnsi="Source Sans 3"/>
            <w:color w:val="1A1A1A"/>
            <w:sz w:val="21"/>
            <w:szCs w:val="21"/>
            <w:u w:val="single" w:color="DCDCDC"/>
          </w:rPr>
          <w:t xml:space="preserve">7. Der Kompetenznachweis (KN)</w:t>
        </w:r>
      </w:hyperlink>
    </w:p>
    <w:p>
      <w:pPr>
        <w:pBdr>
          <w:bottom w:val="single" w:color="DCDCDC" w:sz="6" w:space="8"/>
        </w:pBdr>
        <w:spacing w:after="240" w:before="80"/>
      </w:pPr>
      <w:r>
        <w:t xml:space="preserve"/>
      </w:r>
    </w:p>
    <w:tbl>
      <w:tblPr>
        <w:tblW w:type="pct" w:w="100%"/>
        <w:tblBorders>
          <w:top w:val="none" w:color="FFFFFF" w:sz="0"/>
          <w:left w:val="single" w:color="4A4A4A" w:sz="18"/>
          <w:bottom w:val="none" w:color="FFFFFF" w:sz="0"/>
          <w:right w:val="none" w:color="FFFFFF" w:sz="0"/>
          <w:insideH w:val="none" w:color="FFFFFF" w:sz="0"/>
          <w:insideV w:val="none" w:color="FFFFFF" w:sz="0"/>
        </w:tblBorders>
        <w:tblLayout w:type="fixed"/>
      </w:tblPr>
      <w:tblGrid>
        <w:gridCol w:w="100"/>
      </w:tblGrid>
      <w:tr>
        <w:tc>
          <w:tcPr>
            <w:shd w:fill="F7F6F1" w:color="auto" w:val="clear"/>
            <w:tcMar>
              <w:top w:type="dxa" w:w="120"/>
              <w:left w:type="dxa" w:w="220"/>
              <w:bottom w:type="dxa" w:w="120"/>
              <w:right w:type="dxa" w:w="180"/>
            </w:tcMar>
          </w:tcPr>
          <w:p>
            <w:pPr>
              <w:spacing w:after="100" w:before="60" w:line="320"/>
            </w:pPr>
            <w:r>
              <w:t xml:space="preserve">Dieses Dokument richtet sich an die </w:t>
            </w:r>
            <w:r>
              <w:rPr>
                <w:b/>
                <w:bCs/>
              </w:rPr>
              <w:t xml:space="preserve">Lehrperson</w:t>
            </w:r>
            <w:r>
              <w:t xml:space="preserve">, nicht an die Lernenden.
Die Lernenden erhalten Heft A und Heft B (je acht Seiten, in der Spur ohne oder mit
Medien), den Auftragsbogen zum gemeinsamen Auftrag (vier Seiten) und das KN-Blatt.
Hier steht, </w:t>
            </w:r>
            <w:r>
              <w:rPr>
                <w:b/>
                <w:bCs/>
              </w:rPr>
              <w:t xml:space="preserve">wie</w:t>
            </w:r>
            <w:r>
              <w:t xml:space="preserve"> du die Einheit führst: Zeitplan als Vorschlag, Einsatz der zwei Spuren,
Hinweise zu jeder Heftseite, Musterlösungen pro Spur mit Erwartungshorizonten,
Quellen-Stand und Bewertung — ohne dass du anderswo nachschlagen musst.</w:t>
            </w:r>
          </w:p>
        </w:tc>
      </w:tr>
    </w:tbl>
    <w:p>
      <w:pPr>
        <w:spacing w:after="0" w:before="0"/>
      </w:pPr>
      <w:r>
        <w:rPr>
          <w:sz w:val="8"/>
          <w:szCs w:val="8"/>
        </w:rPr>
        <w:t xml:space="preserve"/>
      </w:r>
    </w:p>
    <w:p>
      <w:pPr>
        <w:pStyle w:val="Heading2"/>
        <w:keepNext/>
        <w:pageBreakBefore/>
        <w:pBdr>
          <w:bottom w:val="single" w:color="80FF00" w:sz="18" w:space="6"/>
        </w:pBdr>
        <w:spacing w:after="160" w:before="0"/>
      </w:pPr>
      <w:bookmarkStart w:name="chap-0" w:id="1"/>
      <w:r>
        <w:rPr>
          <w:rFonts w:ascii="Source Serif 4" w:cs="Source Serif 4" w:eastAsia="Source Serif 4" w:hAnsi="Source Serif 4"/>
          <w:b/>
          <w:bCs/>
          <w:color w:val="1A1A1A"/>
          <w:sz w:val="36"/>
          <w:szCs w:val="36"/>
        </w:rPr>
        <w:t xml:space="preserve">0. Die Einheit in einem Blick</w:t>
      </w:r>
      <w:bookmarkEnd w:id="1"/>
    </w:p>
    <w:p>
      <w:pPr>
        <w:spacing w:after="100" w:before="60" w:line="320"/>
      </w:pPr>
      <w:r>
        <w:rPr>
          <w:b/>
          <w:bCs/>
        </w:rPr>
        <w:t xml:space="preserve">Das Kompetenzversprechen</w:t>
      </w:r>
    </w:p>
    <w:tbl>
      <w:tblPr>
        <w:tblW w:type="pct" w:w="100%"/>
        <w:tblBorders>
          <w:top w:val="none" w:color="FFFFFF" w:sz="0"/>
          <w:left w:val="single" w:color="4A4A4A" w:sz="18"/>
          <w:bottom w:val="none" w:color="FFFFFF" w:sz="0"/>
          <w:right w:val="none" w:color="FFFFFF" w:sz="0"/>
          <w:insideH w:val="none" w:color="FFFFFF" w:sz="0"/>
          <w:insideV w:val="none" w:color="FFFFFF" w:sz="0"/>
        </w:tblBorders>
        <w:tblLayout w:type="fixed"/>
      </w:tblPr>
      <w:tblGrid>
        <w:gridCol w:w="100"/>
      </w:tblGrid>
      <w:tr>
        <w:tc>
          <w:tcPr>
            <w:shd w:fill="F7F6F1" w:color="auto" w:val="clear"/>
            <w:tcMar>
              <w:top w:type="dxa" w:w="120"/>
              <w:left w:type="dxa" w:w="220"/>
              <w:bottom w:type="dxa" w:w="120"/>
              <w:right w:type="dxa" w:w="180"/>
            </w:tcMar>
          </w:tcPr>
          <w:p>
            <w:pPr>
              <w:spacing w:after="100" w:before="60" w:line="320"/>
            </w:pPr>
            <w:r>
              <w:t xml:space="preserve">«</w:t>
            </w:r>
            <w:r>
              <w:t xml:space="preserve"/>
            </w:r>
            <w:r>
              <w:t xml:space="preserve">Ich kann meine Konsum- und Geldentscheidungen so treffen und begründen, dass ich zwischen meinen momentanen Wünschen und meiner langfristigen finanziellen Sicherheit bewusst abwäge.</w:t>
            </w:r>
            <w:r>
              <w:t xml:space="preserve"/>
            </w:r>
            <w:r>
              <w:t xml:space="preserve">»</w:t>
            </w:r>
          </w:p>
        </w:tc>
      </w:tr>
    </w:tbl>
    <w:p>
      <w:pPr>
        <w:spacing w:after="0" w:before="0"/>
      </w:pPr>
      <w:r>
        <w:rPr>
          <w:sz w:val="8"/>
          <w:szCs w:val="8"/>
        </w:rPr>
        <w:t xml:space="preserve"/>
      </w:r>
    </w:p>
    <w:p>
      <w:pPr>
        <w:spacing w:after="100" w:before="60" w:line="320"/>
      </w:pPr>
      <w:r>
        <w:rPr>
          <w:b/>
          <w:bCs/>
        </w:rPr>
        <w:t xml:space="preserve">Das Prinzip, das durch alles trägt</w:t>
      </w:r>
    </w:p>
    <w:tbl>
      <w:tblPr>
        <w:tblW w:type="pct" w:w="100%"/>
        <w:tblBorders>
          <w:top w:val="none" w:color="FFFFFF" w:sz="0"/>
          <w:left w:val="single" w:color="4A4A4A" w:sz="18"/>
          <w:bottom w:val="none" w:color="FFFFFF" w:sz="0"/>
          <w:right w:val="none" w:color="FFFFFF" w:sz="0"/>
          <w:insideH w:val="none" w:color="FFFFFF" w:sz="0"/>
          <w:insideV w:val="none" w:color="FFFFFF" w:sz="0"/>
        </w:tblBorders>
        <w:tblLayout w:type="fixed"/>
      </w:tblPr>
      <w:tblGrid>
        <w:gridCol w:w="100"/>
      </w:tblGrid>
      <w:tr>
        <w:tc>
          <w:tcPr>
            <w:shd w:fill="F7F6F1" w:color="auto" w:val="clear"/>
            <w:tcMar>
              <w:top w:type="dxa" w:w="120"/>
              <w:left w:type="dxa" w:w="220"/>
              <w:bottom w:type="dxa" w:w="120"/>
              <w:right w:type="dxa" w:w="180"/>
            </w:tcMar>
          </w:tcPr>
          <w:p>
            <w:pPr>
              <w:spacing w:after="100" w:before="60" w:line="320"/>
            </w:pPr>
            <w:r>
              <w:t xml:space="preserve">«</w:t>
            </w:r>
            <w:r>
              <w:t xml:space="preserve"/>
            </w:r>
            <w:r>
              <w:t xml:space="preserve">Überlegte Konsum- und Geldentscheidungen entstehen, wenn ich meine momentanen Wünsche bewusst gegen meine langfristige Sicherheit abwäge und meinen Entscheid vor mir selbst begründen kann.</w:t>
            </w:r>
            <w:r>
              <w:t xml:space="preserve"/>
            </w:r>
            <w:r>
              <w:t xml:space="preserve">»</w:t>
            </w:r>
          </w:p>
        </w:tc>
      </w:tr>
    </w:tbl>
    <w:p>
      <w:pPr>
        <w:spacing w:after="0" w:before="0"/>
      </w:pPr>
      <w:r>
        <w:rPr>
          <w:sz w:val="8"/>
          <w:szCs w:val="8"/>
        </w:rPr>
        <w:t xml:space="preserve"/>
      </w:r>
    </w:p>
    <w:p>
      <w:pPr>
        <w:spacing w:after="100" w:before="60" w:line="320"/>
      </w:pPr>
      <w:r>
        <w:t xml:space="preserve">Beide Hefte enden mit einem Begriffsnetz um dasselbe Zentrum: «</w:t>
      </w:r>
      <w:r>
        <w:t xml:space="preserve"/>
      </w:r>
      <w:r>
        <w:t xml:space="preserve">Wunsch jetzt oder Sicherheit später</w:t>
      </w:r>
      <w:r>
        <w:t xml:space="preserve"/>
      </w:r>
      <w:r>
        <w:t xml:space="preserve">». Von dort führt der Weg über den gemeinsamen Auftrag in einen neuen Lebensbereich (Freizeit) und im KN in einen weiteren. Das Prinzip wird so Schritt für Schritt auf neue Fälle übertragen, nie bloss wiederholt.</w:t>
      </w:r>
    </w:p>
    <w:p>
      <w:pPr>
        <w:spacing w:after="100" w:before="60" w:line="320"/>
      </w:pPr>
      <w:r>
        <w:rPr>
          <w:b/>
          <w:bCs/>
        </w:rPr>
        <w:t xml:space="preserve">Die Bausteine</w:t>
      </w:r>
    </w:p>
    <w:tbl>
      <w:tblPr>
        <w:tblW w:type="pct" w:w="100%"/>
        <w:tblBorders>
          <w:top w:val="single" w:color="DCDCDC" w:sz="4"/>
          <w:left w:val="single" w:color="DCDCDC" w:sz="4"/>
          <w:bottom w:val="single" w:color="DCDCDC" w:sz="4"/>
          <w:right w:val="single" w:color="DCDCDC" w:sz="4"/>
          <w:insideH w:val="single" w:color="DCDCDC" w:sz="4"/>
          <w:insideV w:val="single" w:color="DCDCDC" w:sz="4"/>
        </w:tblBorders>
        <w:tblLayout w:type="fixed"/>
      </w:tblPr>
      <w:tblGrid>
        <w:gridCol w:w="100"/>
        <w:gridCol w:w="100"/>
        <w:gridCol w:w="100"/>
        <w:gridCol w:w="100"/>
        <w:gridCol w:w="100"/>
      </w:tblGrid>
      <w:tr>
        <w:trPr>
          <w:tblHeader/>
        </w:trPr>
        <w:tc>
          <w:tcPr>
            <w:shd w:fill="1A1A1A" w:color="auto" w:val="clear"/>
            <w:tcMar>
              <w:top w:type="dxa" w:w="80"/>
              <w:left w:type="dxa" w:w="120"/>
              <w:bottom w:type="dxa" w:w="80"/>
              <w:right w:type="dxa" w:w="120"/>
            </w:tcMar>
          </w:tcPr>
          <w:p>
            <w:pPr>
              <w:spacing w:after="0" w:before="0"/>
            </w:pPr>
            <w:r>
              <w:rPr>
                <w:b/>
                <w:bCs/>
                <w:color w:val="FFFFFF"/>
                <w:sz w:val="19"/>
                <w:szCs w:val="19"/>
              </w:rPr>
              <w:t xml:space="preserve">Baustein</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Woche</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Lektionen</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Umfang</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Was die Lernenden tun</w:t>
            </w:r>
          </w:p>
        </w:tc>
      </w:tr>
      <w:tr>
        <w:tc>
          <w:tcPr>
            <w:tcMar>
              <w:top w:type="dxa" w:w="70"/>
              <w:left w:type="dxa" w:w="120"/>
              <w:bottom w:type="dxa" w:w="70"/>
              <w:right w:type="dxa" w:w="120"/>
            </w:tcMar>
          </w:tcPr>
          <w:p>
            <w:pPr>
              <w:spacing w:after="0" w:before="0"/>
            </w:pPr>
            <w:r>
              <w:rPr>
                <w:b w:val="false"/>
                <w:bCs w:val="false"/>
                <w:sz w:val="20"/>
                <w:szCs w:val="20"/>
              </w:rPr>
              <w:t xml:space="preserve">Heft A «</w:t>
            </w:r>
            <w:r>
              <w:rPr>
                <w:b w:val="false"/>
                <w:bCs w:val="false"/>
                <w:sz w:val="20"/>
                <w:szCs w:val="20"/>
              </w:rPr>
              <w:t xml:space="preserve"/>
            </w:r>
            <w:r>
              <w:rPr>
                <w:b w:val="false"/>
                <w:bCs w:val="false"/>
                <w:sz w:val="20"/>
                <w:szCs w:val="20"/>
              </w:rPr>
              <w:t xml:space="preserve">Marke oder echtes Bedürfnis?</w:t>
            </w:r>
            <w:r>
              <w:rPr>
                <w:b w:val="false"/>
                <w:bCs w:val="false"/>
                <w:sz w:val="20"/>
                <w:szCs w:val="20"/>
              </w:rPr>
              <w:t xml:space="preserve"/>
            </w:r>
            <w:r>
              <w:rPr>
                <w:b w:val="false"/>
                <w:bCs w:val="false"/>
                <w:sz w:val="20"/>
                <w:szCs w:val="20"/>
              </w:rPr>
              <w:t xml:space="preserve">»</w:t>
            </w:r>
          </w:p>
        </w:tc>
        <w:tc>
          <w:tcPr>
            <w:tcMar>
              <w:top w:type="dxa" w:w="70"/>
              <w:left w:type="dxa" w:w="120"/>
              <w:bottom w:type="dxa" w:w="70"/>
              <w:right w:type="dxa" w:w="120"/>
            </w:tcMar>
          </w:tcPr>
          <w:p>
            <w:pPr>
              <w:spacing w:after="0" w:before="0"/>
            </w:pPr>
            <w:r>
              <w:rPr>
                <w:b w:val="false"/>
                <w:bCs w:val="false"/>
                <w:sz w:val="20"/>
                <w:szCs w:val="20"/>
              </w:rPr>
              <w:t xml:space="preserve">1</w:t>
            </w:r>
          </w:p>
        </w:tc>
        <w:tc>
          <w:tcPr>
            <w:tcMar>
              <w:top w:type="dxa" w:w="70"/>
              <w:left w:type="dxa" w:w="120"/>
              <w:bottom w:type="dxa" w:w="70"/>
              <w:right w:type="dxa" w:w="120"/>
            </w:tcMar>
          </w:tcPr>
          <w:p>
            <w:pPr>
              <w:spacing w:after="0" w:before="0"/>
            </w:pPr>
            <w:r>
              <w:rPr>
                <w:b w:val="false"/>
                <w:bCs w:val="false"/>
                <w:sz w:val="20"/>
                <w:szCs w:val="20"/>
              </w:rPr>
              <w:t xml:space="preserve">3</w:t>
            </w:r>
          </w:p>
        </w:tc>
        <w:tc>
          <w:tcPr>
            <w:tcMar>
              <w:top w:type="dxa" w:w="70"/>
              <w:left w:type="dxa" w:w="120"/>
              <w:bottom w:type="dxa" w:w="70"/>
              <w:right w:type="dxa" w:w="120"/>
            </w:tcMar>
          </w:tcPr>
          <w:p>
            <w:pPr>
              <w:spacing w:after="0" w:before="0"/>
            </w:pPr>
            <w:r>
              <w:rPr>
                <w:b w:val="false"/>
                <w:bCs w:val="false"/>
                <w:sz w:val="20"/>
                <w:szCs w:val="20"/>
              </w:rPr>
              <w:t xml:space="preserve">8 Seiten</w:t>
            </w:r>
          </w:p>
        </w:tc>
        <w:tc>
          <w:tcPr>
            <w:tcMar>
              <w:top w:type="dxa" w:w="70"/>
              <w:left w:type="dxa" w:w="120"/>
              <w:bottom w:type="dxa" w:w="70"/>
              <w:right w:type="dxa" w:w="120"/>
            </w:tcMar>
          </w:tcPr>
          <w:p>
            <w:pPr>
              <w:spacing w:after="0" w:before="0"/>
            </w:pPr>
            <w:r>
              <w:rPr>
                <w:b w:val="false"/>
                <w:bCs w:val="false"/>
                <w:sz w:val="20"/>
                <w:szCs w:val="20"/>
              </w:rPr>
              <w:t xml:space="preserve">Bedürfnisse ordnen, einen Massstab begründen und danach entscheiden</w:t>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Heft B «</w:t>
            </w:r>
            <w:r>
              <w:rPr>
                <w:b w:val="false"/>
                <w:bCs w:val="false"/>
                <w:sz w:val="20"/>
                <w:szCs w:val="20"/>
              </w:rPr>
              <w:t xml:space="preserve"/>
            </w:r>
            <w:r>
              <w:rPr>
                <w:b w:val="false"/>
                <w:bCs w:val="false"/>
                <w:sz w:val="20"/>
                <w:szCs w:val="20"/>
              </w:rPr>
              <w:t xml:space="preserve">Am 20. ist das Konto leer</w:t>
            </w:r>
            <w:r>
              <w:rPr>
                <w:b w:val="false"/>
                <w:bCs w:val="false"/>
                <w:sz w:val="20"/>
                <w:szCs w:val="20"/>
              </w:rPr>
              <w:t xml:space="preserve"/>
            </w:r>
            <w:r>
              <w:rPr>
                <w:b w:val="false"/>
                <w:bCs w:val="false"/>
                <w:sz w:val="20"/>
                <w:szCs w:val="20"/>
              </w:rPr>
              <w:t xml:space="preserve">»</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2</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3</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8 Seiten</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Budget planen, Schuldenwege erkennen, Anpassungen im Gespräch vertreten</w:t>
            </w:r>
          </w:p>
        </w:tc>
      </w:tr>
      <w:tr>
        <w:tc>
          <w:tcPr>
            <w:tcMar>
              <w:top w:type="dxa" w:w="70"/>
              <w:left w:type="dxa" w:w="120"/>
              <w:bottom w:type="dxa" w:w="70"/>
              <w:right w:type="dxa" w:w="120"/>
            </w:tcMar>
          </w:tcPr>
          <w:p>
            <w:pPr>
              <w:spacing w:after="0" w:before="0"/>
            </w:pPr>
            <w:r>
              <w:rPr>
                <w:b w:val="false"/>
                <w:bCs w:val="false"/>
                <w:sz w:val="20"/>
                <w:szCs w:val="20"/>
              </w:rPr>
              <w:t xml:space="preserve">Gemeinsamer Auftrag «</w:t>
            </w:r>
            <w:r>
              <w:rPr>
                <w:b w:val="false"/>
                <w:bCs w:val="false"/>
                <w:sz w:val="20"/>
                <w:szCs w:val="20"/>
              </w:rPr>
              <w:t xml:space="preserve"/>
            </w:r>
            <w:r>
              <w:rPr>
                <w:b w:val="false"/>
                <w:bCs w:val="false"/>
                <w:sz w:val="20"/>
                <w:szCs w:val="20"/>
              </w:rPr>
              <w:t xml:space="preserve">Alle kommen ans Openair</w:t>
            </w:r>
            <w:r>
              <w:rPr>
                <w:b w:val="false"/>
                <w:bCs w:val="false"/>
                <w:sz w:val="20"/>
                <w:szCs w:val="20"/>
              </w:rPr>
              <w:t xml:space="preserve"/>
            </w:r>
            <w:r>
              <w:rPr>
                <w:b w:val="false"/>
                <w:bCs w:val="false"/>
                <w:sz w:val="20"/>
                <w:szCs w:val="20"/>
              </w:rPr>
              <w:t xml:space="preserve">»</w:t>
            </w:r>
          </w:p>
        </w:tc>
        <w:tc>
          <w:tcPr>
            <w:tcMar>
              <w:top w:type="dxa" w:w="70"/>
              <w:left w:type="dxa" w:w="120"/>
              <w:bottom w:type="dxa" w:w="70"/>
              <w:right w:type="dxa" w:w="120"/>
            </w:tcMar>
          </w:tcPr>
          <w:p>
            <w:pPr>
              <w:spacing w:after="0" w:before="0"/>
            </w:pPr>
            <w:r>
              <w:rPr>
                <w:b w:val="false"/>
                <w:bCs w:val="false"/>
                <w:sz w:val="20"/>
                <w:szCs w:val="20"/>
              </w:rPr>
              <w:t xml:space="preserve">3</w:t>
            </w:r>
          </w:p>
        </w:tc>
        <w:tc>
          <w:tcPr>
            <w:tcMar>
              <w:top w:type="dxa" w:w="70"/>
              <w:left w:type="dxa" w:w="120"/>
              <w:bottom w:type="dxa" w:w="70"/>
              <w:right w:type="dxa" w:w="120"/>
            </w:tcMar>
          </w:tcPr>
          <w:p>
            <w:pPr>
              <w:spacing w:after="0" w:before="0"/>
            </w:pPr>
            <w:r>
              <w:rPr>
                <w:b w:val="false"/>
                <w:bCs w:val="false"/>
                <w:sz w:val="20"/>
                <w:szCs w:val="20"/>
              </w:rPr>
              <w:t xml:space="preserve">3</w:t>
            </w:r>
          </w:p>
        </w:tc>
        <w:tc>
          <w:tcPr>
            <w:tcMar>
              <w:top w:type="dxa" w:w="70"/>
              <w:left w:type="dxa" w:w="120"/>
              <w:bottom w:type="dxa" w:w="70"/>
              <w:right w:type="dxa" w:w="120"/>
            </w:tcMar>
          </w:tcPr>
          <w:p>
            <w:pPr>
              <w:spacing w:after="0" w:before="0"/>
            </w:pPr>
            <w:r>
              <w:rPr>
                <w:b w:val="false"/>
                <w:bCs w:val="false"/>
                <w:sz w:val="20"/>
                <w:szCs w:val="20"/>
              </w:rPr>
              <w:t xml:space="preserve">4 Seiten</w:t>
            </w:r>
          </w:p>
        </w:tc>
        <w:tc>
          <w:tcPr>
            <w:tcMar>
              <w:top w:type="dxa" w:w="70"/>
              <w:left w:type="dxa" w:w="120"/>
              <w:bottom w:type="dxa" w:w="70"/>
              <w:right w:type="dxa" w:w="120"/>
            </w:tcMar>
          </w:tcPr>
          <w:p>
            <w:pPr>
              <w:spacing w:after="0" w:before="0"/>
            </w:pPr>
            <w:r>
              <w:rPr>
                <w:b w:val="false"/>
                <w:bCs w:val="false"/>
                <w:sz w:val="20"/>
                <w:szCs w:val="20"/>
              </w:rPr>
              <w:t xml:space="preserve">neuer Fall, Entscheidungsblatt und Sprachnachricht, Rückmeldung</w:t>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Kompetenznachweis (KN)</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4</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2 + 1 Puffer</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KN-Blatt</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Nachweis in einer von drei Formen (Kap. 7)</w:t>
            </w:r>
          </w:p>
        </w:tc>
      </w:tr>
    </w:tbl>
    <w:p>
      <w:pPr>
        <w:spacing w:after="0" w:before="0"/>
      </w:pPr>
      <w:r>
        <w:rPr>
          <w:sz w:val="8"/>
          <w:szCs w:val="8"/>
        </w:rPr>
        <w:t xml:space="preserve"/>
      </w:r>
    </w:p>
    <w:p>
      <w:pPr>
        <w:spacing w:after="100" w:before="60" w:line="320"/>
      </w:pPr>
      <w:r>
        <w:rPr>
          <w:b/>
          <w:bCs/>
        </w:rPr>
        <w:t xml:space="preserve">Alle Lernenden bearbeiten beide Hefte nacheinander.</w:t>
      </w:r>
      <w:r>
        <w:t xml:space="preserve"> Ein Gruppenpuzzle mit drei Herausforderungen gibt es in dieser Fassung nicht mehr: Jede und jeder erwirbt beide Teile aus erster Hand, und der gemeinsame Auftrag führt sie vor dem KN zusammen.</w:t>
      </w:r>
    </w:p>
    <w:p>
      <w:pPr>
        <w:spacing w:after="100" w:before="60" w:line="320"/>
      </w:pPr>
      <w:r>
        <w:rPr>
          <w:b/>
          <w:bCs/>
        </w:rPr>
        <w:t xml:space="preserve">Die Kompetenzen (nRLP EFZ 4J, Lebensbezug 1.3)</w:t>
      </w:r>
    </w:p>
    <w:tbl>
      <w:tblPr>
        <w:tblW w:type="pct" w:w="100%"/>
        <w:tblBorders>
          <w:top w:val="single" w:color="DCDCDC" w:sz="4"/>
          <w:left w:val="single" w:color="DCDCDC" w:sz="4"/>
          <w:bottom w:val="single" w:color="DCDCDC" w:sz="4"/>
          <w:right w:val="single" w:color="DCDCDC" w:sz="4"/>
          <w:insideH w:val="single" w:color="DCDCDC" w:sz="4"/>
          <w:insideV w:val="single" w:color="DCDCDC" w:sz="4"/>
        </w:tblBorders>
        <w:tblLayout w:type="fixed"/>
      </w:tblPr>
      <w:tblGrid>
        <w:gridCol w:w="100"/>
        <w:gridCol w:w="100"/>
        <w:gridCol w:w="100"/>
      </w:tblGrid>
      <w:tr>
        <w:trPr>
          <w:tblHeader/>
        </w:trPr>
        <w:tc>
          <w:tcPr>
            <w:shd w:fill="1A1A1A" w:color="auto" w:val="clear"/>
            <w:tcMar>
              <w:top w:type="dxa" w:w="80"/>
              <w:left w:type="dxa" w:w="120"/>
              <w:bottom w:type="dxa" w:w="80"/>
              <w:right w:type="dxa" w:w="120"/>
            </w:tcMar>
          </w:tcPr>
          <w:p>
            <w:pPr>
              <w:spacing w:after="0" w:before="0"/>
            </w:pPr>
            <w:r>
              <w:rPr>
                <w:b/>
                <w:bCs/>
                <w:color w:val="FFFFFF"/>
                <w:sz w:val="19"/>
                <w:szCs w:val="19"/>
              </w:rPr>
              <w:t xml:space="preserve">Heft</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Nr.</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Kompetenz</w:t>
            </w:r>
          </w:p>
        </w:tc>
      </w:tr>
      <w:tr>
        <w:tc>
          <w:tcPr>
            <w:tcMar>
              <w:top w:type="dxa" w:w="70"/>
              <w:left w:type="dxa" w:w="120"/>
              <w:bottom w:type="dxa" w:w="70"/>
              <w:right w:type="dxa" w:w="120"/>
            </w:tcMar>
          </w:tcPr>
          <w:p>
            <w:pPr>
              <w:spacing w:after="0" w:before="0"/>
            </w:pPr>
            <w:r>
              <w:rPr>
                <w:b w:val="false"/>
                <w:bCs w:val="false"/>
                <w:sz w:val="20"/>
                <w:szCs w:val="20"/>
              </w:rPr>
              <w:t xml:space="preserve">A</w:t>
            </w:r>
          </w:p>
        </w:tc>
        <w:tc>
          <w:tcPr>
            <w:tcMar>
              <w:top w:type="dxa" w:w="70"/>
              <w:left w:type="dxa" w:w="120"/>
              <w:bottom w:type="dxa" w:w="70"/>
              <w:right w:type="dxa" w:w="120"/>
            </w:tcMar>
          </w:tcPr>
          <w:p>
            <w:pPr>
              <w:spacing w:after="0" w:before="0"/>
            </w:pPr>
            <w:r>
              <w:rPr>
                <w:b w:val="false"/>
                <w:bCs w:val="false"/>
                <w:sz w:val="20"/>
                <w:szCs w:val="20"/>
              </w:rPr>
              <w:t xml:space="preserve">1.3.1</w:t>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Ich kann verschiedene Arten von Bedürfnissen unterscheiden, meine eigenen Bedürfnisse erkennen und Einflussmöglichkeiten darauf beurteilen.</w:t>
            </w:r>
            <w:r>
              <w:rPr>
                <w:b w:val="false"/>
                <w:bCs w:val="false"/>
                <w:sz w:val="20"/>
                <w:szCs w:val="20"/>
              </w:rPr>
              <w:t xml:space="preserve"/>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B</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1.3.2</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Ich kann mein Budget realistisch planen, Abweichungen und Risiken identifizieren und entsprechende Anpassungen vornehmen sowie mich mit anderen darüber austauschen.</w:t>
            </w:r>
            <w:r>
              <w:rPr>
                <w:b w:val="false"/>
                <w:bCs w:val="false"/>
                <w:sz w:val="20"/>
                <w:szCs w:val="20"/>
              </w:rPr>
              <w:t xml:space="preserve"/>
            </w:r>
          </w:p>
        </w:tc>
      </w:tr>
      <w:tr>
        <w:tc>
          <w:tcPr>
            <w:tcMar>
              <w:top w:type="dxa" w:w="70"/>
              <w:left w:type="dxa" w:w="120"/>
              <w:bottom w:type="dxa" w:w="70"/>
              <w:right w:type="dxa" w:w="120"/>
            </w:tcMar>
          </w:tcPr>
          <w:p>
            <w:pPr>
              <w:spacing w:after="0" w:before="0"/>
            </w:pPr>
            <w:r>
              <w:rPr>
                <w:b w:val="false"/>
                <w:bCs w:val="false"/>
                <w:sz w:val="20"/>
                <w:szCs w:val="20"/>
              </w:rPr>
              <w:t xml:space="preserve">B</w:t>
            </w:r>
          </w:p>
        </w:tc>
        <w:tc>
          <w:tcPr>
            <w:tcMar>
              <w:top w:type="dxa" w:w="70"/>
              <w:left w:type="dxa" w:w="120"/>
              <w:bottom w:type="dxa" w:w="70"/>
              <w:right w:type="dxa" w:w="120"/>
            </w:tcMar>
          </w:tcPr>
          <w:p>
            <w:pPr>
              <w:spacing w:after="0" w:before="0"/>
            </w:pPr>
            <w:r>
              <w:rPr>
                <w:b w:val="false"/>
                <w:bCs w:val="false"/>
                <w:sz w:val="20"/>
                <w:szCs w:val="20"/>
              </w:rPr>
              <w:t xml:space="preserve">1.3.3</w:t>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Ich kann Risiken der Verschuldung erkennen, mein eigenes Konsumverhalten kritisch reflektieren, Wege zur Vermeidung von Schulden entwickeln und diese mit anderen diskutieren.</w:t>
            </w:r>
            <w:r>
              <w:rPr>
                <w:b w:val="false"/>
                <w:bCs w:val="false"/>
                <w:sz w:val="20"/>
                <w:szCs w:val="20"/>
              </w:rPr>
              <w:t xml:space="preserve"/>
            </w:r>
          </w:p>
        </w:tc>
      </w:tr>
    </w:tbl>
    <w:p>
      <w:pPr>
        <w:spacing w:after="0" w:before="0"/>
      </w:pPr>
      <w:r>
        <w:rPr>
          <w:sz w:val="8"/>
          <w:szCs w:val="8"/>
        </w:rPr>
        <w:t xml:space="preserve"/>
      </w:r>
    </w:p>
    <w:p>
      <w:pPr>
        <w:spacing w:after="100" w:before="60" w:line="320"/>
      </w:pPr>
      <w:r>
        <w:t xml:space="preserve">Lebensbezug: «</w:t>
      </w:r>
      <w:r>
        <w:t xml:space="preserve"/>
      </w:r>
      <w:r>
        <w:t xml:space="preserve">Ich treffe überlegte Konsumentscheidungen, die zu mir und meiner Lebenssituation passen.</w:t>
      </w:r>
      <w:r>
        <w:t xml:space="preserve"/>
      </w:r>
      <w:r>
        <w:t xml:space="preserve">» Der nRLP sieht dafür zwölf Lektionen vor — genau der Rahmen dieser Einheit.</w:t>
      </w:r>
    </w:p>
    <w:p>
      <w:pPr>
        <w:pStyle w:val="Heading3"/>
        <w:keepNext/>
        <w:spacing w:after="80" w:before="280"/>
      </w:pPr>
      <w:r>
        <w:rPr>
          <w:rFonts w:ascii="Source Serif 4" w:cs="Source Serif 4" w:eastAsia="Source Serif 4" w:hAnsi="Source Serif 4"/>
          <w:b/>
          <w:bCs/>
          <w:color w:val="1A1A1A"/>
          <w:sz w:val="26"/>
          <w:szCs w:val="26"/>
        </w:rPr>
        <w:t xml:space="preserve">Bewertung: Note nur im KN</w:t>
      </w:r>
    </w:p>
    <w:p>
      <w:pPr>
        <w:spacing w:after="100" w:before="60" w:line="320"/>
      </w:pPr>
      <w:r>
        <w:t xml:space="preserve">Das KN-Raster ist der Ausgangspunkt (Backward Design): Jedes Heft übt zwei der vier KN-Kriterien, der gemeinsame Auftrag alle vier, der KN weist sie nach.</w:t>
      </w:r>
    </w:p>
    <w:tbl>
      <w:tblPr>
        <w:tblW w:type="pct" w:w="100%"/>
        <w:tblBorders>
          <w:top w:val="single" w:color="DCDCDC" w:sz="4"/>
          <w:left w:val="single" w:color="DCDCDC" w:sz="4"/>
          <w:bottom w:val="single" w:color="DCDCDC" w:sz="4"/>
          <w:right w:val="single" w:color="DCDCDC" w:sz="4"/>
          <w:insideH w:val="single" w:color="DCDCDC" w:sz="4"/>
          <w:insideV w:val="single" w:color="DCDCDC" w:sz="4"/>
        </w:tblBorders>
        <w:tblLayout w:type="fixed"/>
      </w:tblPr>
      <w:tblGrid>
        <w:gridCol w:w="100"/>
        <w:gridCol w:w="100"/>
        <w:gridCol w:w="100"/>
        <w:gridCol w:w="100"/>
      </w:tblGrid>
      <w:tr>
        <w:trPr>
          <w:tblHeader/>
        </w:trPr>
        <w:tc>
          <w:tcPr>
            <w:shd w:fill="1A1A1A" w:color="auto" w:val="clear"/>
            <w:tcMar>
              <w:top w:type="dxa" w:w="80"/>
              <w:left w:type="dxa" w:w="120"/>
              <w:bottom w:type="dxa" w:w="80"/>
              <w:right w:type="dxa" w:w="120"/>
            </w:tcMar>
          </w:tcPr>
          <w:p>
            <w:pPr>
              <w:spacing w:after="0" w:before="0"/>
            </w:pPr>
            <w:r>
              <w:rPr>
                <w:b/>
                <w:bCs/>
                <w:color w:val="FFFFFF"/>
                <w:sz w:val="19"/>
                <w:szCs w:val="19"/>
              </w:rPr>
              <w:t xml:space="preserve">Baustein</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Funktion</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Kriterien</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Note</w:t>
            </w:r>
          </w:p>
        </w:tc>
      </w:tr>
      <w:tr>
        <w:tc>
          <w:tcPr>
            <w:tcMar>
              <w:top w:type="dxa" w:w="70"/>
              <w:left w:type="dxa" w:w="120"/>
              <w:bottom w:type="dxa" w:w="70"/>
              <w:right w:type="dxa" w:w="120"/>
            </w:tcMar>
          </w:tcPr>
          <w:p>
            <w:pPr>
              <w:spacing w:after="0" w:before="0"/>
            </w:pPr>
            <w:r>
              <w:rPr>
                <w:b w:val="false"/>
                <w:bCs w:val="false"/>
                <w:sz w:val="20"/>
                <w:szCs w:val="20"/>
              </w:rPr>
              <w:t xml:space="preserve">Heft A</w:t>
            </w:r>
          </w:p>
        </w:tc>
        <w:tc>
          <w:tcPr>
            <w:tcMar>
              <w:top w:type="dxa" w:w="70"/>
              <w:left w:type="dxa" w:w="120"/>
              <w:bottom w:type="dxa" w:w="70"/>
              <w:right w:type="dxa" w:w="120"/>
            </w:tcMar>
          </w:tcPr>
          <w:p>
            <w:pPr>
              <w:spacing w:after="0" w:before="0"/>
            </w:pPr>
            <w:r>
              <w:rPr>
                <w:b w:val="false"/>
                <w:bCs w:val="false"/>
                <w:sz w:val="20"/>
                <w:szCs w:val="20"/>
              </w:rPr>
              <w:t xml:space="preserve">Übung</w:t>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Fachkorrektheit</w:t>
            </w:r>
            <w:r>
              <w:rPr>
                <w:b w:val="false"/>
                <w:bCs w:val="false"/>
                <w:sz w:val="20"/>
                <w:szCs w:val="20"/>
              </w:rPr>
              <w:t xml:space="preserve"/>
            </w:r>
            <w:r>
              <w:rPr>
                <w:b w:val="false"/>
                <w:bCs w:val="false"/>
                <w:sz w:val="20"/>
                <w:szCs w:val="20"/>
              </w:rPr>
              <w:t xml:space="preserve"> · </w:t>
            </w:r>
            <w:r>
              <w:rPr>
                <w:b w:val="false"/>
                <w:bCs w:val="false"/>
                <w:sz w:val="20"/>
                <w:szCs w:val="20"/>
              </w:rPr>
              <w:t xml:space="preserve"/>
            </w:r>
            <w:r>
              <w:rPr>
                <w:b w:val="false"/>
                <w:bCs w:val="false"/>
                <w:sz w:val="20"/>
                <w:szCs w:val="20"/>
              </w:rPr>
              <w:t xml:space="preserve">Position / Werthaltung</w:t>
            </w:r>
            <w:r>
              <w:rPr>
                <w:b w:val="false"/>
                <w:bCs w:val="false"/>
                <w:sz w:val="20"/>
                <w:szCs w:val="20"/>
              </w:rPr>
              <w:t xml:space="preserve"/>
            </w:r>
          </w:p>
        </w:tc>
        <w:tc>
          <w:tcPr>
            <w:tcMar>
              <w:top w:type="dxa" w:w="70"/>
              <w:left w:type="dxa" w:w="120"/>
              <w:bottom w:type="dxa" w:w="70"/>
              <w:right w:type="dxa" w:w="120"/>
            </w:tcMar>
          </w:tcPr>
          <w:p>
            <w:pPr>
              <w:spacing w:after="0" w:before="0"/>
            </w:pPr>
            <w:r>
              <w:rPr>
                <w:b w:val="false"/>
                <w:bCs w:val="false"/>
                <w:sz w:val="20"/>
                <w:szCs w:val="20"/>
              </w:rPr>
              <w:t xml:space="preserve">nein</w:t>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Heft B</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Übung</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Argumentation</w:t>
            </w:r>
            <w:r>
              <w:rPr>
                <w:b w:val="false"/>
                <w:bCs w:val="false"/>
                <w:sz w:val="20"/>
                <w:szCs w:val="20"/>
              </w:rPr>
              <w:t xml:space="preserve"/>
            </w:r>
            <w:r>
              <w:rPr>
                <w:b w:val="false"/>
                <w:bCs w:val="false"/>
                <w:sz w:val="20"/>
                <w:szCs w:val="20"/>
              </w:rPr>
              <w:t xml:space="preserve"> · </w:t>
            </w:r>
            <w:r>
              <w:rPr>
                <w:b w:val="false"/>
                <w:bCs w:val="false"/>
                <w:sz w:val="20"/>
                <w:szCs w:val="20"/>
              </w:rPr>
              <w:t xml:space="preserve"/>
            </w:r>
            <w:r>
              <w:rPr>
                <w:b w:val="false"/>
                <w:bCs w:val="false"/>
                <w:sz w:val="20"/>
                <w:szCs w:val="20"/>
              </w:rPr>
              <w:t xml:space="preserve">Wirtschaftliches Prinzip</w:t>
            </w:r>
            <w:r>
              <w:rPr>
                <w:b w:val="false"/>
                <w:bCs w:val="false"/>
                <w:sz w:val="20"/>
                <w:szCs w:val="20"/>
              </w:rPr>
              <w:t xml:space="preserve"/>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nein</w:t>
            </w:r>
          </w:p>
        </w:tc>
      </w:tr>
      <w:tr>
        <w:tc>
          <w:tcPr>
            <w:tcMar>
              <w:top w:type="dxa" w:w="70"/>
              <w:left w:type="dxa" w:w="120"/>
              <w:bottom w:type="dxa" w:w="70"/>
              <w:right w:type="dxa" w:w="120"/>
            </w:tcMar>
          </w:tcPr>
          <w:p>
            <w:pPr>
              <w:spacing w:after="0" w:before="0"/>
            </w:pPr>
            <w:r>
              <w:rPr>
                <w:b w:val="false"/>
                <w:bCs w:val="false"/>
                <w:sz w:val="20"/>
                <w:szCs w:val="20"/>
              </w:rPr>
              <w:t xml:space="preserve">Gemeinsamer Auftrag</w:t>
            </w:r>
          </w:p>
        </w:tc>
        <w:tc>
          <w:tcPr>
            <w:tcMar>
              <w:top w:type="dxa" w:w="70"/>
              <w:left w:type="dxa" w:w="120"/>
              <w:bottom w:type="dxa" w:w="70"/>
              <w:right w:type="dxa" w:w="120"/>
            </w:tcMar>
          </w:tcPr>
          <w:p>
            <w:pPr>
              <w:spacing w:after="0" w:before="0"/>
            </w:pPr>
            <w:r>
              <w:rPr>
                <w:b w:val="false"/>
                <w:bCs w:val="false"/>
                <w:sz w:val="20"/>
                <w:szCs w:val="20"/>
              </w:rPr>
              <w:t xml:space="preserve">Generalprobe mit Rückmeldung</w:t>
            </w:r>
          </w:p>
        </w:tc>
        <w:tc>
          <w:tcPr>
            <w:tcMar>
              <w:top w:type="dxa" w:w="70"/>
              <w:left w:type="dxa" w:w="120"/>
              <w:bottom w:type="dxa" w:w="70"/>
              <w:right w:type="dxa" w:w="120"/>
            </w:tcMar>
          </w:tcPr>
          <w:p>
            <w:pPr>
              <w:spacing w:after="0" w:before="0"/>
            </w:pPr>
            <w:r>
              <w:rPr>
                <w:b w:val="false"/>
                <w:bCs w:val="false"/>
                <w:sz w:val="20"/>
                <w:szCs w:val="20"/>
              </w:rPr>
              <w:t xml:space="preserve">alle vier KN-Kriterien</w:t>
            </w:r>
          </w:p>
        </w:tc>
        <w:tc>
          <w:tcPr>
            <w:tcMar>
              <w:top w:type="dxa" w:w="70"/>
              <w:left w:type="dxa" w:w="120"/>
              <w:bottom w:type="dxa" w:w="70"/>
              <w:right w:type="dxa" w:w="120"/>
            </w:tcMar>
          </w:tcPr>
          <w:p>
            <w:pPr>
              <w:spacing w:after="0" w:before="0"/>
            </w:pPr>
            <w:r>
              <w:rPr>
                <w:b w:val="false"/>
                <w:bCs w:val="false"/>
                <w:sz w:val="20"/>
                <w:szCs w:val="20"/>
              </w:rPr>
              <w:t xml:space="preserve">nein</w:t>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KN</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Nachweis</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alle vier KN-Kriterien</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ja</w:t>
            </w:r>
          </w:p>
        </w:tc>
      </w:tr>
    </w:tbl>
    <w:p>
      <w:pPr>
        <w:spacing w:after="0" w:before="0"/>
      </w:pPr>
      <w:r>
        <w:rPr>
          <w:sz w:val="8"/>
          <w:szCs w:val="8"/>
        </w:rPr>
        <w:t xml:space="preserve"/>
      </w:r>
    </w:p>
    <w:p>
      <w:pPr>
        <w:spacing w:after="100" w:before="60" w:line="320"/>
      </w:pPr>
      <w:r>
        <w:rPr>
          <w:b/>
          <w:bCs/>
        </w:rPr>
        <w:t xml:space="preserve">Woran man es am Heftprodukt sieht</w:t>
      </w:r>
      <w:r>
        <w:t xml:space="preserve"> — die Indikatoren stehen auf Seite 5 jedes Hefts:</w:t>
      </w:r>
    </w:p>
    <w:tbl>
      <w:tblPr>
        <w:tblW w:type="pct" w:w="100%"/>
        <w:tblBorders>
          <w:top w:val="single" w:color="DCDCDC" w:sz="4"/>
          <w:left w:val="single" w:color="DCDCDC" w:sz="4"/>
          <w:bottom w:val="single" w:color="DCDCDC" w:sz="4"/>
          <w:right w:val="single" w:color="DCDCDC" w:sz="4"/>
          <w:insideH w:val="single" w:color="DCDCDC" w:sz="4"/>
          <w:insideV w:val="single" w:color="DCDCDC" w:sz="4"/>
        </w:tblBorders>
        <w:tblLayout w:type="fixed"/>
      </w:tblPr>
      <w:tblGrid>
        <w:gridCol w:w="100"/>
        <w:gridCol w:w="100"/>
        <w:gridCol w:w="100"/>
        <w:gridCol w:w="100"/>
      </w:tblGrid>
      <w:tr>
        <w:trPr>
          <w:tblHeader/>
        </w:trPr>
        <w:tc>
          <w:tcPr>
            <w:shd w:fill="1A1A1A" w:color="auto" w:val="clear"/>
            <w:tcMar>
              <w:top w:type="dxa" w:w="80"/>
              <w:left w:type="dxa" w:w="120"/>
              <w:bottom w:type="dxa" w:w="80"/>
              <w:right w:type="dxa" w:w="120"/>
            </w:tcMar>
          </w:tcPr>
          <w:p>
            <w:pPr>
              <w:spacing w:after="0" w:before="0"/>
            </w:pPr>
            <w:r>
              <w:rPr>
                <w:b/>
                <w:bCs/>
                <w:color w:val="FFFFFF"/>
                <w:sz w:val="19"/>
                <w:szCs w:val="19"/>
              </w:rPr>
              <w:t xml:space="preserve">Heft</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KN-Kriterium</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Dim.</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Indikator am Produkt</w:t>
            </w:r>
          </w:p>
        </w:tc>
      </w:tr>
      <w:tr>
        <w:tc>
          <w:tcPr>
            <w:tcMar>
              <w:top w:type="dxa" w:w="70"/>
              <w:left w:type="dxa" w:w="120"/>
              <w:bottom w:type="dxa" w:w="70"/>
              <w:right w:type="dxa" w:w="120"/>
            </w:tcMar>
          </w:tcPr>
          <w:p>
            <w:pPr>
              <w:spacing w:after="0" w:before="0"/>
            </w:pPr>
            <w:r>
              <w:rPr>
                <w:b w:val="false"/>
                <w:bCs w:val="false"/>
                <w:sz w:val="20"/>
                <w:szCs w:val="20"/>
              </w:rPr>
              <w:t xml:space="preserve">A</w:t>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Fachkorrektheit</w:t>
            </w:r>
            <w:r>
              <w:rPr>
                <w:b w:val="false"/>
                <w:bCs w:val="false"/>
                <w:sz w:val="20"/>
                <w:szCs w:val="20"/>
              </w:rPr>
              <w:t xml:space="preserve"/>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SuK</w:t>
            </w:r>
            <w:r>
              <w:rPr>
                <w:b w:val="false"/>
                <w:bCs w:val="false"/>
                <w:sz w:val="20"/>
                <w:szCs w:val="20"/>
              </w:rPr>
              <w:t xml:space="preserve"/>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Gut und Bedürfnis sind getrennt; Bedürfnisarten und Maslow-Stufen stimmen.</w:t>
            </w:r>
            <w:r>
              <w:rPr>
                <w:b w:val="false"/>
                <w:bCs w:val="false"/>
                <w:sz w:val="20"/>
                <w:szCs w:val="20"/>
              </w:rPr>
              <w:t xml:space="preserve"/>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A</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Position / Werthaltung</w:t>
            </w:r>
            <w:r>
              <w:rPr>
                <w:b w:val="false"/>
                <w:bCs w:val="false"/>
                <w:sz w:val="20"/>
                <w:szCs w:val="20"/>
              </w:rPr>
              <w:t xml:space="preserve"/>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Ges</w:t>
            </w:r>
            <w:r>
              <w:rPr>
                <w:b w:val="false"/>
                <w:bCs w:val="false"/>
                <w:sz w:val="20"/>
                <w:szCs w:val="20"/>
              </w:rPr>
              <w:t xml:space="preserve"/>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Massstab-Satz in Ich-Form; der Entscheid wägt Wunsch jetzt gegen Sicherheit später ab.</w:t>
            </w:r>
            <w:r>
              <w:rPr>
                <w:b w:val="false"/>
                <w:bCs w:val="false"/>
                <w:sz w:val="20"/>
                <w:szCs w:val="20"/>
              </w:rPr>
              <w:t xml:space="preserve"/>
            </w:r>
          </w:p>
        </w:tc>
      </w:tr>
      <w:tr>
        <w:tc>
          <w:tcPr>
            <w:tcMar>
              <w:top w:type="dxa" w:w="70"/>
              <w:left w:type="dxa" w:w="120"/>
              <w:bottom w:type="dxa" w:w="70"/>
              <w:right w:type="dxa" w:w="120"/>
            </w:tcMar>
          </w:tcPr>
          <w:p>
            <w:pPr>
              <w:spacing w:after="0" w:before="0"/>
            </w:pPr>
            <w:r>
              <w:rPr>
                <w:b w:val="false"/>
                <w:bCs w:val="false"/>
                <w:sz w:val="20"/>
                <w:szCs w:val="20"/>
              </w:rPr>
              <w:t xml:space="preserve">B</w:t>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Argumentation</w:t>
            </w:r>
            <w:r>
              <w:rPr>
                <w:b w:val="false"/>
                <w:bCs w:val="false"/>
                <w:sz w:val="20"/>
                <w:szCs w:val="20"/>
              </w:rPr>
              <w:t xml:space="preserve"/>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SuK</w:t>
            </w:r>
            <w:r>
              <w:rPr>
                <w:b w:val="false"/>
                <w:bCs w:val="false"/>
                <w:sz w:val="20"/>
                <w:szCs w:val="20"/>
              </w:rPr>
              <w:t xml:space="preserve"/>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Jede Anpassung ist begründet; im Gespräch wird der Einwand beantwortet, nicht übergangen.</w:t>
            </w:r>
            <w:r>
              <w:rPr>
                <w:b w:val="false"/>
                <w:bCs w:val="false"/>
                <w:sz w:val="20"/>
                <w:szCs w:val="20"/>
              </w:rPr>
              <w:t xml:space="preserve"/>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B</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Wirtschaftliches Prinzip</w:t>
            </w:r>
            <w:r>
              <w:rPr>
                <w:b w:val="false"/>
                <w:bCs w:val="false"/>
                <w:sz w:val="20"/>
                <w:szCs w:val="20"/>
              </w:rPr>
              <w:t xml:space="preserve"/>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Ges</w:t>
            </w:r>
            <w:r>
              <w:rPr>
                <w:b w:val="false"/>
                <w:bCs w:val="false"/>
                <w:sz w:val="20"/>
                <w:szCs w:val="20"/>
              </w:rPr>
              <w:t xml:space="preserve"/>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Engpass rechnerisch geschlossen; Schutzregeln setzen bei den Schuldenwegen aus LF3 an.</w:t>
            </w:r>
            <w:r>
              <w:rPr>
                <w:b w:val="false"/>
                <w:bCs w:val="false"/>
                <w:sz w:val="20"/>
                <w:szCs w:val="20"/>
              </w:rPr>
              <w:t xml:space="preserve"/>
            </w:r>
          </w:p>
        </w:tc>
      </w:tr>
    </w:tbl>
    <w:p>
      <w:pPr>
        <w:spacing w:after="0" w:before="0"/>
      </w:pPr>
      <w:r>
        <w:rPr>
          <w:sz w:val="8"/>
          <w:szCs w:val="8"/>
        </w:rPr>
        <w:t xml:space="preserve"/>
      </w:r>
    </w:p>
    <w:p>
      <w:pPr>
        <w:spacing w:after="100" w:before="60" w:line="320"/>
      </w:pPr>
      <w:r>
        <w:t xml:space="preserve">Warum diese Verteilung: Die Landkarte in Heft A steht und fällt mit korrekten Begriffen (Bedürfnisarten, Maslow, Gut), und Massstab-Satz und Entscheid zum Handy sind eine Ich-Position. Das Budgetgespräch in Heft B verlangt begründete Anpassungen gegen einen Einwand, und Budget, Engpass und Schuldenrisiko werden im eigenen Budget verbunden.</w:t>
      </w:r>
    </w:p>
    <w:p>
      <w:pPr>
        <w:pStyle w:val="ListParagraph"/>
        <w:numPr>
          <w:ilvl w:val="0"/>
          <w:numId w:val="2"/>
        </w:numPr>
        <w:spacing w:after="30" w:before="30" w:line="300"/>
        <w:ind w:left="280" w:hanging="280"/>
      </w:pPr>
      <w:r>
        <w:t xml:space="preserve">Die Kriterien stehen in den Heften </w:t>
      </w:r>
      <w:r>
        <w:rPr>
          <w:b/>
          <w:bCs/>
        </w:rPr>
        <w:t xml:space="preserve">im Wortlaut des KN</w:t>
      </w:r>
      <w:r>
        <w:t xml:space="preserve">, mit denselben vier Stufen, und sind </w:t>
      </w:r>
      <w:r>
        <w:rPr>
          <w:b/>
          <w:bCs/>
        </w:rPr>
        <w:t xml:space="preserve">in beiden Spuren identisch</w:t>
      </w:r>
      <w:r>
        <w:t xml:space="preserve">.</w:t>
      </w:r>
    </w:p>
    <w:p>
      <w:pPr>
        <w:pStyle w:val="ListParagraph"/>
        <w:numPr>
          <w:ilvl w:val="0"/>
          <w:numId w:val="2"/>
        </w:numPr>
        <w:spacing w:after="30" w:before="30" w:line="300"/>
        <w:ind w:left="280" w:hanging="280"/>
      </w:pPr>
      <w:r>
        <w:t xml:space="preserve">Die Lernenden kreuzen vor der Abgabe ihre Stufe an (Spalte «Selbst»); du gibst Rückmeldung auf derselben Skala.</w:t>
      </w:r>
    </w:p>
    <w:p>
      <w:pPr>
        <w:pStyle w:val="ListParagraph"/>
        <w:numPr>
          <w:ilvl w:val="0"/>
          <w:numId w:val="2"/>
        </w:numPr>
        <w:spacing w:after="30" w:before="30" w:line="300"/>
        <w:ind w:left="280" w:hanging="280"/>
      </w:pPr>
      <w:r>
        <w:t xml:space="preserve">Bewertet wird im KN </w:t>
      </w:r>
      <w:r>
        <w:rPr>
          <w:b/>
          <w:bCs/>
        </w:rPr>
        <w:t xml:space="preserve">bi-dimensional</w:t>
      </w:r>
      <w:r>
        <w:t xml:space="preserve">: SuK und Ges als zwei getrennte Noten (Kap. 7).</w:t>
      </w:r>
    </w:p>
    <w:tbl>
      <w:tblPr>
        <w:tblW w:type="pct" w:w="100%"/>
        <w:tblBorders>
          <w:top w:val="single" w:color="A07A14" w:sz="8"/>
          <w:left w:val="single" w:color="A07A14" w:sz="40"/>
          <w:bottom w:val="single" w:color="A07A14" w:sz="8"/>
          <w:right w:val="single" w:color="A07A14" w:sz="8"/>
          <w:insideH w:val="none" w:color="FFFFFF" w:sz="0"/>
          <w:insideV w:val="none" w:color="FFFFFF" w:sz="0"/>
        </w:tblBorders>
        <w:tblLayout w:type="fixed"/>
      </w:tblPr>
      <w:tblGrid>
        <w:gridCol w:w="100"/>
      </w:tblGrid>
      <w:tr>
        <w:tc>
          <w:tcPr>
            <w:shd w:fill="A07A14" w:color="auto" w:val="clear"/>
            <w:tcMar>
              <w:top w:type="dxa" w:w="70"/>
              <w:left w:type="dxa" w:w="220"/>
              <w:bottom w:type="dxa" w:w="70"/>
              <w:right w:type="dxa" w:w="180"/>
            </w:tcMar>
          </w:tcPr>
          <w:p>
            <w:pPr>
              <w:spacing w:after="0" w:before="0"/>
            </w:pPr>
            <w:r>
              <w:rPr>
                <w:rFonts w:ascii="Source Sans 3" w:cs="Source Sans 3" w:eastAsia="Source Sans 3" w:hAnsi="Source Sans 3"/>
                <w:b/>
                <w:bCs/>
                <w:color w:val="FFFFFF"/>
                <w:spacing w:val="16"/>
                <w:sz w:val="21"/>
                <w:szCs w:val="21"/>
              </w:rPr>
              <w:t xml:space="preserve">COACHING-MOVE  ·  KN-WORTLAUT IM HEFT LESEN</w:t>
            </w:r>
          </w:p>
        </w:tc>
      </w:tr>
      <w:tr>
        <w:tc>
          <w:tcPr>
            <w:shd w:fill="FDF5E1" w:color="auto" w:val="clear"/>
            <w:tcMar>
              <w:top w:type="dxa" w:w="150"/>
              <w:left w:type="dxa" w:w="220"/>
              <w:bottom w:type="dxa" w:w="150"/>
              <w:right w:type="dxa" w:w="180"/>
            </w:tcMar>
          </w:tcPr>
          <w:p>
            <w:pPr>
              <w:spacing w:after="100" w:before="60" w:line="320"/>
            </w:pPr>
            <w:r>
              <w:t xml:space="preserve">Die Stufentexte der Feedback-Kriterien sind wörtlich die des KN. Darum nennt «Fachkorrektheit» bei 0 Punkten Begriffe, die im einzelnen Heft nicht alle vorkommen: «Begriffe (Bedürfnis, Budget, Leasing/Kredit) fehlen oder werden falsch verwendet.» Und «Wirtschaftliches Prinzip» verlangt für 3 Punkte «Transfer» — den zeigen die Lernenden erst im gemeinsamen Auftrag und im KN. Massgebend für die Rückmeldung zum Heft ist darum die Zeile «Woran sehe ich das in meinem Produkt?» — sie sagt, woran das Kriterium im Heftprodukt zu sehen ist.</w:t>
            </w:r>
          </w:p>
        </w:tc>
      </w:tr>
    </w:tbl>
    <w:p>
      <w:pPr>
        <w:spacing w:after="0" w:before="0"/>
      </w:pPr>
      <w:r>
        <w:rPr>
          <w:sz w:val="8"/>
          <w:szCs w:val="8"/>
        </w:rPr>
        <w:t xml:space="preserve"/>
      </w:r>
    </w:p>
    <w:tbl>
      <w:tblPr>
        <w:tblW w:type="pct" w:w="100%"/>
        <w:tblBorders>
          <w:top w:val="none" w:color="FFFFFF" w:sz="0"/>
          <w:left w:val="single" w:color="2A548C" w:sz="18"/>
          <w:bottom w:val="none" w:color="FFFFFF" w:sz="0"/>
          <w:right w:val="none" w:color="FFFFFF" w:sz="0"/>
          <w:insideH w:val="none" w:color="FFFFFF" w:sz="0"/>
          <w:insideV w:val="none" w:color="FFFFFF" w:sz="0"/>
        </w:tblBorders>
        <w:tblLayout w:type="fixed"/>
      </w:tblPr>
      <w:tblGrid>
        <w:gridCol w:w="100"/>
      </w:tblGrid>
      <w:tr>
        <w:tc>
          <w:tcPr>
            <w:shd w:fill="E8EEF7"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2A548C"/>
                <w:spacing w:val="12"/>
                <w:sz w:val="18"/>
                <w:szCs w:val="18"/>
              </w:rPr>
              <w:t xml:space="preserve">HINWEIS  ·  HEFTE UND AUFTRAG ZÄHLEN NICHT</w:t>
            </w:r>
          </w:p>
          <w:p>
            <w:pPr>
              <w:spacing w:after="100" w:before="60" w:line="320"/>
            </w:pPr>
            <w:r>
              <w:t xml:space="preserve">Beide Hefte und der gemeinsame Auftrag sind formativ. Eine Gewichtung des Auftrags wäre ein eigener Entscheid in </w:t>
            </w:r>
            <w:r>
              <w:rPr>
                <w:rFonts w:ascii="JetBrains Mono" w:cs="JetBrains Mono" w:eastAsia="JetBrains Mono" w:hAnsi="JetBrains Mono"/>
                <w:color w:val="6A3E00"/>
                <w:shd w:fill="F0EEE8" w:color="auto" w:val="clear"/>
              </w:rPr>
              <w:t xml:space="preserve">set.json</w:t>
            </w:r>
            <w:r>
              <w:t xml:space="preserve">; für diese Einheit ist keiner getroffen. Die Note entsteht nur im KN.</w:t>
            </w:r>
          </w:p>
        </w:tc>
      </w:tr>
    </w:tbl>
    <w:p>
      <w:pPr>
        <w:spacing w:after="0" w:before="0"/>
      </w:pPr>
      <w:r>
        <w:rPr>
          <w:sz w:val="8"/>
          <w:szCs w:val="8"/>
        </w:rPr>
        <w:t xml:space="preserve"/>
      </w:r>
    </w:p>
    <w:p>
      <w:pPr>
        <w:spacing w:after="100" w:before="60" w:line="320"/>
      </w:pPr>
      <w:r>
        <w:rPr>
          <w:b/>
          <w:bCs/>
        </w:rPr>
        <w:t xml:space="preserve">Mehrdeutigkeit — ein Spannungsfeld je Baustein</w:t>
      </w:r>
    </w:p>
    <w:p>
      <w:pPr>
        <w:pStyle w:val="ListParagraph"/>
        <w:numPr>
          <w:ilvl w:val="0"/>
          <w:numId w:val="3"/>
        </w:numPr>
        <w:spacing w:after="30" w:before="30" w:line="300"/>
        <w:ind w:left="280" w:hanging="280"/>
      </w:pPr>
      <w:r>
        <w:t xml:space="preserve">Heft A: </w:t>
      </w:r>
      <w:r>
        <w:t xml:space="preserve"/>
      </w:r>
      <w:r>
        <w:t xml:space="preserve">Eigener Massstab vs. sozialer Konsumdruck</w:t>
      </w:r>
      <w:r>
        <w:t xml:space="preserve"/>
      </w:r>
    </w:p>
    <w:p>
      <w:pPr>
        <w:pStyle w:val="ListParagraph"/>
        <w:numPr>
          <w:ilvl w:val="0"/>
          <w:numId w:val="3"/>
        </w:numPr>
        <w:spacing w:after="30" w:before="30" w:line="300"/>
        <w:ind w:left="280" w:hanging="280"/>
      </w:pPr>
      <w:r>
        <w:t xml:space="preserve">Heft B: </w:t>
      </w:r>
      <w:r>
        <w:t xml:space="preserve"/>
      </w:r>
      <w:r>
        <w:t xml:space="preserve">Momentaner Wunsch vs. langfristige finanzielle Sicherheit</w:t>
      </w:r>
      <w:r>
        <w:t xml:space="preserve"/>
      </w:r>
    </w:p>
    <w:p>
      <w:pPr>
        <w:pStyle w:val="ListParagraph"/>
        <w:numPr>
          <w:ilvl w:val="0"/>
          <w:numId w:val="3"/>
        </w:numPr>
        <w:spacing w:after="30" w:before="30" w:line="300"/>
        <w:ind w:left="280" w:hanging="280"/>
      </w:pPr>
      <w:r>
        <w:t xml:space="preserve">Gemeinsamer Auftrag: </w:t>
      </w:r>
      <w:r>
        <w:t xml:space="preserve"/>
      </w:r>
      <w:r>
        <w:t xml:space="preserve">Dazugehören jetzt vs. Rückstellung für später</w:t>
      </w:r>
      <w:r>
        <w:t xml:space="preserve"/>
      </w:r>
      <w:r>
        <w:t xml:space="preserve"> — er aktiviert zugleich die Spannungsfelder von A und B.</w:t>
      </w:r>
    </w:p>
    <w:p>
      <w:pPr>
        <w:pStyle w:val="ListParagraph"/>
        <w:numPr>
          <w:ilvl w:val="0"/>
          <w:numId w:val="3"/>
        </w:numPr>
        <w:spacing w:after="30" w:before="30" w:line="300"/>
        <w:ind w:left="280" w:hanging="280"/>
      </w:pPr>
      <w:r>
        <w:t xml:space="preserve">KN: drei Spannungsfelder in einer Szene (Kap. 7).</w:t>
      </w:r>
    </w:p>
    <w:tbl>
      <w:tblPr>
        <w:tblW w:type="pct" w:w="100%"/>
        <w:tblBorders>
          <w:top w:val="none" w:color="FFFFFF" w:sz="0"/>
          <w:left w:val="single" w:color="2F7373" w:sz="18"/>
          <w:bottom w:val="none" w:color="FFFFFF" w:sz="0"/>
          <w:right w:val="none" w:color="FFFFFF" w:sz="0"/>
          <w:insideH w:val="none" w:color="FFFFFF" w:sz="0"/>
          <w:insideV w:val="none" w:color="FFFFFF" w:sz="0"/>
        </w:tblBorders>
        <w:tblLayout w:type="fixed"/>
      </w:tblPr>
      <w:tblGrid>
        <w:gridCol w:w="100"/>
      </w:tblGrid>
      <w:tr>
        <w:tc>
          <w:tcPr>
            <w:shd w:fill="E6F1F1"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2F7373"/>
                <w:spacing w:val="12"/>
                <w:sz w:val="18"/>
                <w:szCs w:val="18"/>
              </w:rPr>
              <w:t xml:space="preserve">MEHRDEUTIGKEIT HALTEN  ·  DER GRUNDSATZ</w:t>
            </w:r>
          </w:p>
          <w:p>
            <w:pPr>
              <w:spacing w:after="100" w:before="60" w:line="320"/>
            </w:pPr>
            <w:r>
              <w:t xml:space="preserve">Es gibt keinen allgemein «richtigen» Konsumentscheid, nur einen, den die Lernenden für ihre eigene Lebenssituation begründen und verantworten können. Beide Seiten eines Spannungsfelds bleiben begründbar. Wer eine Seite vorschnell für falsch erklärt, hat das Spannungsfeld nicht gehalten, sondern aufgelöst.</w:t>
            </w:r>
          </w:p>
        </w:tc>
      </w:tr>
    </w:tbl>
    <w:p>
      <w:pPr>
        <w:spacing w:after="0" w:before="0"/>
      </w:pPr>
      <w:r>
        <w:rPr>
          <w:sz w:val="8"/>
          <w:szCs w:val="8"/>
        </w:rPr>
        <w:t xml:space="preserve"/>
      </w:r>
    </w:p>
    <w:p>
      <w:pPr>
        <w:pStyle w:val="Heading2"/>
        <w:keepNext/>
        <w:pageBreakBefore/>
        <w:pBdr>
          <w:bottom w:val="single" w:color="80FF00" w:sz="18" w:space="6"/>
        </w:pBdr>
        <w:spacing w:after="160" w:before="0"/>
      </w:pPr>
      <w:bookmarkStart w:name="chap-1" w:id="1"/>
      <w:r>
        <w:rPr>
          <w:rFonts w:ascii="Source Serif 4" w:cs="Source Serif 4" w:eastAsia="Source Serif 4" w:hAnsi="Source Serif 4"/>
          <w:b/>
          <w:bCs/>
          <w:color w:val="1A1A1A"/>
          <w:sz w:val="36"/>
          <w:szCs w:val="36"/>
        </w:rPr>
        <w:t xml:space="preserve">1. Zeitplan: ein Vorschlag für zwölf Lektionen</w:t>
      </w:r>
      <w:bookmarkEnd w:id="1"/>
    </w:p>
    <w:p>
      <w:pPr>
        <w:spacing w:after="100" w:before="60" w:line="320"/>
      </w:pPr>
      <w:r>
        <w:t xml:space="preserve">Die Hefte und der Auftragsbogen nennen weder Woche noch Lektion — die Zeit teilst du selbst ein. Der folgende Plan ist ein Vorschlag: vier Wochen zu drei Lektionen, mit einer Lektion Puffer am Schluss.</w:t>
      </w:r>
    </w:p>
    <w:tbl>
      <w:tblPr>
        <w:tblW w:type="pct" w:w="100%"/>
        <w:tblBorders>
          <w:top w:val="single" w:color="DCDCDC" w:sz="4"/>
          <w:left w:val="single" w:color="DCDCDC" w:sz="4"/>
          <w:bottom w:val="single" w:color="DCDCDC" w:sz="4"/>
          <w:right w:val="single" w:color="DCDCDC" w:sz="4"/>
          <w:insideH w:val="single" w:color="DCDCDC" w:sz="4"/>
          <w:insideV w:val="single" w:color="DCDCDC" w:sz="4"/>
        </w:tblBorders>
        <w:tblLayout w:type="fixed"/>
      </w:tblPr>
      <w:tblGrid>
        <w:gridCol w:w="100"/>
        <w:gridCol w:w="100"/>
        <w:gridCol w:w="100"/>
      </w:tblGrid>
      <w:tr>
        <w:trPr>
          <w:tblHeader/>
        </w:trPr>
        <w:tc>
          <w:tcPr>
            <w:shd w:fill="1A1A1A" w:color="auto" w:val="clear"/>
            <w:tcMar>
              <w:top w:type="dxa" w:w="80"/>
              <w:left w:type="dxa" w:w="120"/>
              <w:bottom w:type="dxa" w:w="80"/>
              <w:right w:type="dxa" w:w="120"/>
            </w:tcMar>
          </w:tcPr>
          <w:p>
            <w:pPr>
              <w:spacing w:after="0" w:before="0"/>
            </w:pPr>
            <w:r>
              <w:rPr>
                <w:b/>
                <w:bCs/>
                <w:color w:val="FFFFFF"/>
                <w:sz w:val="19"/>
                <w:szCs w:val="19"/>
              </w:rPr>
              <w:t xml:space="preserve">Woche</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Lektionen</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Inhalt</w:t>
            </w:r>
          </w:p>
        </w:tc>
      </w:tr>
      <w:tr>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1</w:t>
            </w:r>
            <w:r>
              <w:rPr>
                <w:b w:val="false"/>
                <w:bCs w:val="false"/>
                <w:sz w:val="20"/>
                <w:szCs w:val="20"/>
              </w:rPr>
              <w:t xml:space="preserve"/>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3</w:t>
            </w:r>
            <w:r>
              <w:rPr>
                <w:b w:val="false"/>
                <w:bCs w:val="false"/>
                <w:sz w:val="20"/>
                <w:szCs w:val="20"/>
              </w:rPr>
              <w:t xml:space="preserve"/>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Heft A</w:t>
            </w:r>
            <w:r>
              <w:rPr>
                <w:b w:val="false"/>
                <w:bCs w:val="false"/>
                <w:sz w:val="20"/>
                <w:szCs w:val="20"/>
              </w:rPr>
              <w:t xml:space="preserve"/>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2</w:t>
            </w:r>
            <w:r>
              <w:rPr>
                <w:b w:val="false"/>
                <w:bCs w:val="false"/>
                <w:sz w:val="20"/>
                <w:szCs w:val="20"/>
              </w:rPr>
              <w:t xml:space="preserve"/>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3</w:t>
            </w:r>
            <w:r>
              <w:rPr>
                <w:b w:val="false"/>
                <w:bCs w:val="false"/>
                <w:sz w:val="20"/>
                <w:szCs w:val="20"/>
              </w:rPr>
              <w:t xml:space="preserve"/>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Heft B</w:t>
            </w:r>
            <w:r>
              <w:rPr>
                <w:b w:val="false"/>
                <w:bCs w:val="false"/>
                <w:sz w:val="20"/>
                <w:szCs w:val="20"/>
              </w:rPr>
              <w:t xml:space="preserve"/>
            </w:r>
          </w:p>
        </w:tc>
      </w:tr>
      <w:tr>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3</w:t>
            </w:r>
            <w:r>
              <w:rPr>
                <w:b w:val="false"/>
                <w:bCs w:val="false"/>
                <w:sz w:val="20"/>
                <w:szCs w:val="20"/>
              </w:rPr>
              <w:t xml:space="preserve"/>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3</w:t>
            </w:r>
            <w:r>
              <w:rPr>
                <w:b w:val="false"/>
                <w:bCs w:val="false"/>
                <w:sz w:val="20"/>
                <w:szCs w:val="20"/>
              </w:rPr>
              <w:t xml:space="preserve"/>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Gemeinsamer Auftrag (2) + Rückmeldung (1)</w:t>
            </w:r>
            <w:r>
              <w:rPr>
                <w:b w:val="false"/>
                <w:bCs w:val="false"/>
                <w:sz w:val="20"/>
                <w:szCs w:val="20"/>
              </w:rPr>
              <w:t xml:space="preserve"/>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4</w:t>
            </w:r>
            <w:r>
              <w:rPr>
                <w:b w:val="false"/>
                <w:bCs w:val="false"/>
                <w:sz w:val="20"/>
                <w:szCs w:val="20"/>
              </w:rPr>
              <w:t xml:space="preserve"/>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3</w:t>
            </w:r>
            <w:r>
              <w:rPr>
                <w:b w:val="false"/>
                <w:bCs w:val="false"/>
                <w:sz w:val="20"/>
                <w:szCs w:val="20"/>
              </w:rPr>
              <w:t xml:space="preserve"/>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KN (2) + Puffer (1)</w:t>
            </w:r>
            <w:r>
              <w:rPr>
                <w:b w:val="false"/>
                <w:bCs w:val="false"/>
                <w:sz w:val="20"/>
                <w:szCs w:val="20"/>
              </w:rPr>
              <w:t xml:space="preserve"/>
            </w:r>
          </w:p>
        </w:tc>
      </w:tr>
    </w:tbl>
    <w:p>
      <w:pPr>
        <w:spacing w:after="0" w:before="0"/>
      </w:pPr>
      <w:r>
        <w:rPr>
          <w:sz w:val="8"/>
          <w:szCs w:val="8"/>
        </w:rPr>
        <w:t xml:space="preserve"/>
      </w:r>
    </w:p>
    <w:p>
      <w:pPr>
        <w:pStyle w:val="Heading3"/>
        <w:keepNext/>
        <w:spacing w:after="80" w:before="280"/>
      </w:pPr>
      <w:r>
        <w:rPr>
          <w:rFonts w:ascii="Source Serif 4" w:cs="Source Serif 4" w:eastAsia="Source Serif 4" w:hAnsi="Source Serif 4"/>
          <w:b/>
          <w:bCs/>
          <w:color w:val="1A1A1A"/>
          <w:sz w:val="26"/>
          <w:szCs w:val="26"/>
        </w:rPr>
        <w:t xml:space="preserve">Lektion für Lektion (Vorschlag)</w:t>
      </w:r>
    </w:p>
    <w:tbl>
      <w:tblPr>
        <w:tblW w:type="pct" w:w="100%"/>
        <w:tblBorders>
          <w:top w:val="single" w:color="DCDCDC" w:sz="4"/>
          <w:left w:val="single" w:color="DCDCDC" w:sz="4"/>
          <w:bottom w:val="single" w:color="DCDCDC" w:sz="4"/>
          <w:right w:val="single" w:color="DCDCDC" w:sz="4"/>
          <w:insideH w:val="single" w:color="DCDCDC" w:sz="4"/>
          <w:insideV w:val="single" w:color="DCDCDC" w:sz="4"/>
        </w:tblBorders>
        <w:tblLayout w:type="fixed"/>
      </w:tblPr>
      <w:tblGrid>
        <w:gridCol w:w="100"/>
        <w:gridCol w:w="100"/>
        <w:gridCol w:w="100"/>
        <w:gridCol w:w="100"/>
      </w:tblGrid>
      <w:tr>
        <w:trPr>
          <w:tblHeader/>
        </w:trPr>
        <w:tc>
          <w:tcPr>
            <w:shd w:fill="1A1A1A" w:color="auto" w:val="clear"/>
            <w:tcMar>
              <w:top w:type="dxa" w:w="80"/>
              <w:left w:type="dxa" w:w="120"/>
              <w:bottom w:type="dxa" w:w="80"/>
              <w:right w:type="dxa" w:w="120"/>
            </w:tcMar>
          </w:tcPr>
          <w:p>
            <w:pPr>
              <w:spacing w:after="0" w:before="0"/>
            </w:pPr>
            <w:r>
              <w:rPr>
                <w:b/>
                <w:bCs/>
                <w:color w:val="FFFFFF"/>
                <w:sz w:val="19"/>
                <w:szCs w:val="19"/>
              </w:rPr>
              <w:t xml:space="preserve">Woche</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Lektion</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Was geschieht</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Unterlagen</w:t>
            </w:r>
          </w:p>
        </w:tc>
      </w:tr>
      <w:tr>
        <w:tc>
          <w:tcPr>
            <w:tcMar>
              <w:top w:type="dxa" w:w="70"/>
              <w:left w:type="dxa" w:w="120"/>
              <w:bottom w:type="dxa" w:w="70"/>
              <w:right w:type="dxa" w:w="120"/>
            </w:tcMar>
          </w:tcPr>
          <w:p>
            <w:pPr>
              <w:spacing w:after="0" w:before="0"/>
            </w:pPr>
            <w:r>
              <w:rPr>
                <w:b w:val="false"/>
                <w:bCs w:val="false"/>
                <w:sz w:val="20"/>
                <w:szCs w:val="20"/>
              </w:rPr>
              <w:t xml:space="preserve">1</w:t>
            </w:r>
          </w:p>
        </w:tc>
        <w:tc>
          <w:tcPr>
            <w:tcMar>
              <w:top w:type="dxa" w:w="70"/>
              <w:left w:type="dxa" w:w="120"/>
              <w:bottom w:type="dxa" w:w="70"/>
              <w:right w:type="dxa" w:w="120"/>
            </w:tcMar>
          </w:tcPr>
          <w:p>
            <w:pPr>
              <w:spacing w:after="0" w:before="0"/>
            </w:pPr>
            <w:r>
              <w:rPr>
                <w:b w:val="false"/>
                <w:bCs w:val="false"/>
                <w:sz w:val="20"/>
                <w:szCs w:val="20"/>
              </w:rPr>
              <w:t xml:space="preserve">1</w:t>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Situation lesen, LF1 und LF2</w:t>
            </w:r>
            <w:r>
              <w:rPr>
                <w:b w:val="false"/>
                <w:bCs w:val="false"/>
                <w:sz w:val="20"/>
                <w:szCs w:val="20"/>
              </w:rPr>
              <w:t xml:space="preserve"/>
            </w:r>
          </w:p>
        </w:tc>
        <w:tc>
          <w:tcPr>
            <w:tcMar>
              <w:top w:type="dxa" w:w="70"/>
              <w:left w:type="dxa" w:w="120"/>
              <w:bottom w:type="dxa" w:w="70"/>
              <w:right w:type="dxa" w:w="120"/>
            </w:tcMar>
          </w:tcPr>
          <w:p>
            <w:pPr>
              <w:spacing w:after="0" w:before="0"/>
            </w:pPr>
            <w:r>
              <w:rPr>
                <w:b w:val="false"/>
                <w:bCs w:val="false"/>
                <w:sz w:val="20"/>
                <w:szCs w:val="20"/>
              </w:rPr>
              <w:t xml:space="preserve">Heft A, S. 1–2</w:t>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1</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2</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LF3 mit Raster zur Quelle, LF4, Landkarte beginnen</w:t>
            </w:r>
            <w:r>
              <w:rPr>
                <w:b w:val="false"/>
                <w:bCs w:val="false"/>
                <w:sz w:val="20"/>
                <w:szCs w:val="20"/>
              </w:rPr>
              <w:t xml:space="preserve"/>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Heft A, S. 3–7</w:t>
            </w:r>
          </w:p>
        </w:tc>
      </w:tr>
      <w:tr>
        <w:tc>
          <w:tcPr>
            <w:tcMar>
              <w:top w:type="dxa" w:w="70"/>
              <w:left w:type="dxa" w:w="120"/>
              <w:bottom w:type="dxa" w:w="70"/>
              <w:right w:type="dxa" w:w="120"/>
            </w:tcMar>
          </w:tcPr>
          <w:p>
            <w:pPr>
              <w:spacing w:after="0" w:before="0"/>
            </w:pPr>
            <w:r>
              <w:rPr>
                <w:b w:val="false"/>
                <w:bCs w:val="false"/>
                <w:sz w:val="20"/>
                <w:szCs w:val="20"/>
              </w:rPr>
              <w:t xml:space="preserve">1</w:t>
            </w:r>
          </w:p>
        </w:tc>
        <w:tc>
          <w:tcPr>
            <w:tcMar>
              <w:top w:type="dxa" w:w="70"/>
              <w:left w:type="dxa" w:w="120"/>
              <w:bottom w:type="dxa" w:w="70"/>
              <w:right w:type="dxa" w:w="120"/>
            </w:tcMar>
          </w:tcPr>
          <w:p>
            <w:pPr>
              <w:spacing w:after="0" w:before="0"/>
            </w:pPr>
            <w:r>
              <w:rPr>
                <w:b w:val="false"/>
                <w:bCs w:val="false"/>
                <w:sz w:val="20"/>
                <w:szCs w:val="20"/>
              </w:rPr>
              <w:t xml:space="preserve">3</w:t>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Landkarte fertigstellen, Feedback-Kriterien, Abschluss mit Begriffsnetz</w:t>
            </w:r>
            <w:r>
              <w:rPr>
                <w:b w:val="false"/>
                <w:bCs w:val="false"/>
                <w:sz w:val="20"/>
                <w:szCs w:val="20"/>
              </w:rPr>
              <w:t xml:space="preserve"/>
            </w:r>
          </w:p>
        </w:tc>
        <w:tc>
          <w:tcPr>
            <w:tcMar>
              <w:top w:type="dxa" w:w="70"/>
              <w:left w:type="dxa" w:w="120"/>
              <w:bottom w:type="dxa" w:w="70"/>
              <w:right w:type="dxa" w:w="120"/>
            </w:tcMar>
          </w:tcPr>
          <w:p>
            <w:pPr>
              <w:spacing w:after="0" w:before="0"/>
            </w:pPr>
            <w:r>
              <w:rPr>
                <w:b w:val="false"/>
                <w:bCs w:val="false"/>
                <w:sz w:val="20"/>
                <w:szCs w:val="20"/>
              </w:rPr>
              <w:t xml:space="preserve">Heft A, S. 5, 7, 8</w:t>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2</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1</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Situation lesen, LF1 und LF2 (Budget aufstellen)</w:t>
            </w:r>
            <w:r>
              <w:rPr>
                <w:b w:val="false"/>
                <w:bCs w:val="false"/>
                <w:sz w:val="20"/>
                <w:szCs w:val="20"/>
              </w:rPr>
              <w:t xml:space="preserve"/>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Heft B, S. 1–2</w:t>
            </w:r>
          </w:p>
        </w:tc>
      </w:tr>
      <w:tr>
        <w:tc>
          <w:tcPr>
            <w:tcMar>
              <w:top w:type="dxa" w:w="70"/>
              <w:left w:type="dxa" w:w="120"/>
              <w:bottom w:type="dxa" w:w="70"/>
              <w:right w:type="dxa" w:w="120"/>
            </w:tcMar>
          </w:tcPr>
          <w:p>
            <w:pPr>
              <w:spacing w:after="0" w:before="0"/>
            </w:pPr>
            <w:r>
              <w:rPr>
                <w:b w:val="false"/>
                <w:bCs w:val="false"/>
                <w:sz w:val="20"/>
                <w:szCs w:val="20"/>
              </w:rPr>
              <w:t xml:space="preserve">2</w:t>
            </w:r>
          </w:p>
        </w:tc>
        <w:tc>
          <w:tcPr>
            <w:tcMar>
              <w:top w:type="dxa" w:w="70"/>
              <w:left w:type="dxa" w:w="120"/>
              <w:bottom w:type="dxa" w:w="70"/>
              <w:right w:type="dxa" w:w="120"/>
            </w:tcMar>
          </w:tcPr>
          <w:p>
            <w:pPr>
              <w:spacing w:after="0" w:before="0"/>
            </w:pPr>
            <w:r>
              <w:rPr>
                <w:b w:val="false"/>
                <w:bCs w:val="false"/>
                <w:sz w:val="20"/>
                <w:szCs w:val="20"/>
              </w:rPr>
              <w:t xml:space="preserve">2</w:t>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LF3 mit Raster zur Quelle, LF4, Anpassungen und Regeln</w:t>
            </w:r>
            <w:r>
              <w:rPr>
                <w:b w:val="false"/>
                <w:bCs w:val="false"/>
                <w:sz w:val="20"/>
                <w:szCs w:val="20"/>
              </w:rPr>
              <w:t xml:space="preserve"/>
            </w:r>
          </w:p>
        </w:tc>
        <w:tc>
          <w:tcPr>
            <w:tcMar>
              <w:top w:type="dxa" w:w="70"/>
              <w:left w:type="dxa" w:w="120"/>
              <w:bottom w:type="dxa" w:w="70"/>
              <w:right w:type="dxa" w:w="120"/>
            </w:tcMar>
          </w:tcPr>
          <w:p>
            <w:pPr>
              <w:spacing w:after="0" w:before="0"/>
            </w:pPr>
            <w:r>
              <w:rPr>
                <w:b w:val="false"/>
                <w:bCs w:val="false"/>
                <w:sz w:val="20"/>
                <w:szCs w:val="20"/>
              </w:rPr>
              <w:t xml:space="preserve">Heft B, S. 3–7</w:t>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2</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3</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Budget fertigstellen, Budgetgespräch zu zweit, Feedback-Kriterien, Abschluss</w:t>
            </w:r>
            <w:r>
              <w:rPr>
                <w:b w:val="false"/>
                <w:bCs w:val="false"/>
                <w:sz w:val="20"/>
                <w:szCs w:val="20"/>
              </w:rPr>
              <w:t xml:space="preserve"/>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Heft B, S. 5, 7, 8</w:t>
            </w:r>
          </w:p>
        </w:tc>
      </w:tr>
      <w:tr>
        <w:tc>
          <w:tcPr>
            <w:tcMar>
              <w:top w:type="dxa" w:w="70"/>
              <w:left w:type="dxa" w:w="120"/>
              <w:bottom w:type="dxa" w:w="70"/>
              <w:right w:type="dxa" w:w="120"/>
            </w:tcMar>
          </w:tcPr>
          <w:p>
            <w:pPr>
              <w:spacing w:after="0" w:before="0"/>
            </w:pPr>
            <w:r>
              <w:rPr>
                <w:b w:val="false"/>
                <w:bCs w:val="false"/>
                <w:sz w:val="20"/>
                <w:szCs w:val="20"/>
              </w:rPr>
              <w:t xml:space="preserve">3</w:t>
            </w:r>
          </w:p>
        </w:tc>
        <w:tc>
          <w:tcPr>
            <w:tcMar>
              <w:top w:type="dxa" w:w="70"/>
              <w:left w:type="dxa" w:w="120"/>
              <w:bottom w:type="dxa" w:w="70"/>
              <w:right w:type="dxa" w:w="120"/>
            </w:tcMar>
          </w:tcPr>
          <w:p>
            <w:pPr>
              <w:spacing w:after="0" w:before="0"/>
            </w:pPr>
            <w:r>
              <w:rPr>
                <w:b w:val="false"/>
                <w:bCs w:val="false"/>
                <w:sz w:val="20"/>
                <w:szCs w:val="20"/>
              </w:rPr>
              <w:t xml:space="preserve">1</w:t>
            </w:r>
          </w:p>
        </w:tc>
        <w:tc>
          <w:tcPr>
            <w:tcMar>
              <w:top w:type="dxa" w:w="70"/>
              <w:left w:type="dxa" w:w="120"/>
              <w:bottom w:type="dxa" w:w="70"/>
              <w:right w:type="dxa" w:w="120"/>
            </w:tcMar>
          </w:tcPr>
          <w:p>
            <w:pPr>
              <w:spacing w:after="0" w:before="0"/>
            </w:pPr>
            <w:r>
              <w:rPr>
                <w:b w:val="false"/>
                <w:bCs w:val="false"/>
                <w:sz w:val="20"/>
                <w:szCs w:val="20"/>
              </w:rPr>
              <w:t xml:space="preserve">Gemeinsamer Auftrag: Situation lesen, Entscheidungsblatt schreiben</w:t>
            </w:r>
          </w:p>
        </w:tc>
        <w:tc>
          <w:tcPr>
            <w:tcMar>
              <w:top w:type="dxa" w:w="70"/>
              <w:left w:type="dxa" w:w="120"/>
              <w:bottom w:type="dxa" w:w="70"/>
              <w:right w:type="dxa" w:w="120"/>
            </w:tcMar>
          </w:tcPr>
          <w:p>
            <w:pPr>
              <w:spacing w:after="0" w:before="0"/>
            </w:pPr>
            <w:r>
              <w:rPr>
                <w:b w:val="false"/>
                <w:bCs w:val="false"/>
                <w:sz w:val="20"/>
                <w:szCs w:val="20"/>
              </w:rPr>
              <w:t xml:space="preserve">Auftragsbogen A1–A2, Hefte A und B</w:t>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3</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2</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Sprachnachricht planen und vortragen oder aufnehmen, Selbsteinschätzung</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Auftragsbogen A3–A4</w:t>
            </w:r>
          </w:p>
        </w:tc>
      </w:tr>
      <w:tr>
        <w:tc>
          <w:tcPr>
            <w:tcMar>
              <w:top w:type="dxa" w:w="70"/>
              <w:left w:type="dxa" w:w="120"/>
              <w:bottom w:type="dxa" w:w="70"/>
              <w:right w:type="dxa" w:w="120"/>
            </w:tcMar>
          </w:tcPr>
          <w:p>
            <w:pPr>
              <w:spacing w:after="0" w:before="0"/>
            </w:pPr>
            <w:r>
              <w:rPr>
                <w:b w:val="false"/>
                <w:bCs w:val="false"/>
                <w:sz w:val="20"/>
                <w:szCs w:val="20"/>
              </w:rPr>
              <w:t xml:space="preserve">3</w:t>
            </w:r>
          </w:p>
        </w:tc>
        <w:tc>
          <w:tcPr>
            <w:tcMar>
              <w:top w:type="dxa" w:w="70"/>
              <w:left w:type="dxa" w:w="120"/>
              <w:bottom w:type="dxa" w:w="70"/>
              <w:right w:type="dxa" w:w="120"/>
            </w:tcMar>
          </w:tcPr>
          <w:p>
            <w:pPr>
              <w:spacing w:after="0" w:before="0"/>
            </w:pPr>
            <w:r>
              <w:rPr>
                <w:b w:val="false"/>
                <w:bCs w:val="false"/>
                <w:sz w:val="20"/>
                <w:szCs w:val="20"/>
              </w:rPr>
              <w:t xml:space="preserve">3</w:t>
            </w:r>
          </w:p>
        </w:tc>
        <w:tc>
          <w:tcPr>
            <w:tcMar>
              <w:top w:type="dxa" w:w="70"/>
              <w:left w:type="dxa" w:w="120"/>
              <w:bottom w:type="dxa" w:w="70"/>
              <w:right w:type="dxa" w:w="120"/>
            </w:tcMar>
          </w:tcPr>
          <w:p>
            <w:pPr>
              <w:spacing w:after="0" w:before="0"/>
            </w:pPr>
            <w:r>
              <w:rPr>
                <w:b w:val="false"/>
                <w:bCs w:val="false"/>
                <w:sz w:val="20"/>
                <w:szCs w:val="20"/>
              </w:rPr>
              <w:t xml:space="preserve">Rückmeldung (Lehrperson und Peer), Verbesserung</w:t>
            </w:r>
          </w:p>
        </w:tc>
        <w:tc>
          <w:tcPr>
            <w:tcMar>
              <w:top w:type="dxa" w:w="70"/>
              <w:left w:type="dxa" w:w="120"/>
              <w:bottom w:type="dxa" w:w="70"/>
              <w:right w:type="dxa" w:w="120"/>
            </w:tcMar>
          </w:tcPr>
          <w:p>
            <w:pPr>
              <w:spacing w:after="0" w:before="0"/>
            </w:pPr>
            <w:r>
              <w:rPr>
                <w:b w:val="false"/>
                <w:bCs w:val="false"/>
                <w:sz w:val="20"/>
                <w:szCs w:val="20"/>
              </w:rPr>
              <w:t xml:space="preserve">Auftragsbogen A4</w:t>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4</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1–2</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Kompetenznachweis in der gewählten Form</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KN-Blatt</w:t>
            </w:r>
          </w:p>
        </w:tc>
      </w:tr>
      <w:tr>
        <w:tc>
          <w:tcPr>
            <w:tcMar>
              <w:top w:type="dxa" w:w="70"/>
              <w:left w:type="dxa" w:w="120"/>
              <w:bottom w:type="dxa" w:w="70"/>
              <w:right w:type="dxa" w:w="120"/>
            </w:tcMar>
          </w:tcPr>
          <w:p>
            <w:pPr>
              <w:spacing w:after="0" w:before="0"/>
            </w:pPr>
            <w:r>
              <w:rPr>
                <w:b w:val="false"/>
                <w:bCs w:val="false"/>
                <w:sz w:val="20"/>
                <w:szCs w:val="20"/>
              </w:rPr>
              <w:t xml:space="preserve">4</w:t>
            </w:r>
          </w:p>
        </w:tc>
        <w:tc>
          <w:tcPr>
            <w:tcMar>
              <w:top w:type="dxa" w:w="70"/>
              <w:left w:type="dxa" w:w="120"/>
              <w:bottom w:type="dxa" w:w="70"/>
              <w:right w:type="dxa" w:w="120"/>
            </w:tcMar>
          </w:tcPr>
          <w:p>
            <w:pPr>
              <w:spacing w:after="0" w:before="0"/>
            </w:pPr>
            <w:r>
              <w:rPr>
                <w:b w:val="false"/>
                <w:bCs w:val="false"/>
                <w:sz w:val="20"/>
                <w:szCs w:val="20"/>
              </w:rPr>
              <w:t xml:space="preserve">3</w:t>
            </w:r>
          </w:p>
        </w:tc>
        <w:tc>
          <w:tcPr>
            <w:tcMar>
              <w:top w:type="dxa" w:w="70"/>
              <w:left w:type="dxa" w:w="120"/>
              <w:bottom w:type="dxa" w:w="70"/>
              <w:right w:type="dxa" w:w="120"/>
            </w:tcMar>
          </w:tcPr>
          <w:p>
            <w:pPr>
              <w:spacing w:after="0" w:before="0"/>
            </w:pPr>
            <w:r>
              <w:rPr>
                <w:b w:val="false"/>
                <w:bCs w:val="false"/>
                <w:sz w:val="20"/>
                <w:szCs w:val="20"/>
              </w:rPr>
              <w:t xml:space="preserve">Puffer</w:t>
            </w:r>
          </w:p>
        </w:tc>
        <w:tc>
          <w:tcPr>
            <w:tcMar>
              <w:top w:type="dxa" w:w="70"/>
              <w:left w:type="dxa" w:w="120"/>
              <w:bottom w:type="dxa" w:w="70"/>
              <w:right w:type="dxa" w:w="120"/>
            </w:tcMar>
          </w:tcPr>
          <w:p>
            <w:pPr>
              <w:spacing w:after="0" w:before="0"/>
            </w:pPr>
            <w:r>
              <w:rPr>
                <w:b w:val="false"/>
                <w:bCs w:val="false"/>
                <w:sz w:val="20"/>
                <w:szCs w:val="20"/>
              </w:rPr>
              <w:t xml:space="preserve">—</w:t>
            </w:r>
          </w:p>
        </w:tc>
      </w:tr>
    </w:tbl>
    <w:p>
      <w:pPr>
        <w:spacing w:after="0" w:before="0"/>
      </w:pPr>
      <w:r>
        <w:rPr>
          <w:sz w:val="8"/>
          <w:szCs w:val="8"/>
        </w:rPr>
        <w:t xml:space="preserve"/>
      </w:r>
    </w:p>
    <w:tbl>
      <w:tblPr>
        <w:tblW w:type="pct" w:w="100%"/>
        <w:tblBorders>
          <w:top w:val="none" w:color="FFFFFF" w:sz="0"/>
          <w:left w:val="single" w:color="2A548C" w:sz="18"/>
          <w:bottom w:val="none" w:color="FFFFFF" w:sz="0"/>
          <w:right w:val="none" w:color="FFFFFF" w:sz="0"/>
          <w:insideH w:val="none" w:color="FFFFFF" w:sz="0"/>
          <w:insideV w:val="none" w:color="FFFFFF" w:sz="0"/>
        </w:tblBorders>
        <w:tblLayout w:type="fixed"/>
      </w:tblPr>
      <w:tblGrid>
        <w:gridCol w:w="100"/>
      </w:tblGrid>
      <w:tr>
        <w:tc>
          <w:tcPr>
            <w:shd w:fill="E8EEF7"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2A548C"/>
                <w:spacing w:val="12"/>
                <w:sz w:val="18"/>
                <w:szCs w:val="18"/>
              </w:rPr>
              <w:t xml:space="preserve">HINWEIS  ·  WOZU DER PUFFER DA IST</w:t>
            </w:r>
          </w:p>
          <w:p>
            <w:pPr>
              <w:spacing w:after="100" w:before="60" w:line="320"/>
            </w:pPr>
            <w:r>
              <w:t xml:space="preserve">Ohne Puffer kippt der Plan bei der ersten Absenz, und gestrichen wird dann meist die Rückmeldung zum Auftrag — genau die Lektion, die den Auftrag sinnvoll macht. Plane den Puffer darum nicht im Voraus mit Stoff: Er fängt Absenzen und Nachholarbeit auf oder trägt die gestaffelten Fachgespräche.</w:t>
            </w:r>
          </w:p>
        </w:tc>
      </w:tr>
    </w:tbl>
    <w:p>
      <w:pPr>
        <w:spacing w:after="0" w:before="0"/>
      </w:pPr>
      <w:r>
        <w:rPr>
          <w:sz w:val="8"/>
          <w:szCs w:val="8"/>
        </w:rPr>
        <w:t xml:space="preserve"/>
      </w:r>
    </w:p>
    <w:tbl>
      <w:tblPr>
        <w:tblW w:type="pct" w:w="100%"/>
        <w:tblBorders>
          <w:top w:val="none" w:color="FFFFFF" w:sz="0"/>
          <w:left w:val="single" w:color="B8232B" w:sz="18"/>
          <w:bottom w:val="none" w:color="FFFFFF" w:sz="0"/>
          <w:right w:val="none" w:color="FFFFFF" w:sz="0"/>
          <w:insideH w:val="none" w:color="FFFFFF" w:sz="0"/>
          <w:insideV w:val="none" w:color="FFFFFF" w:sz="0"/>
        </w:tblBorders>
        <w:tblLayout w:type="fixed"/>
      </w:tblPr>
      <w:tblGrid>
        <w:gridCol w:w="100"/>
      </w:tblGrid>
      <w:tr>
        <w:tc>
          <w:tcPr>
            <w:shd w:fill="FAECE9"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B8232B"/>
                <w:spacing w:val="12"/>
                <w:sz w:val="18"/>
                <w:szCs w:val="18"/>
              </w:rPr>
              <w:t xml:space="preserve">WARNUNG  ·  KN-FORM FACHGESPRÄCH BRAUCHT MEHR ALS ZWEI LEKTIONEN</w:t>
            </w:r>
          </w:p>
          <w:p>
            <w:pPr>
              <w:spacing w:after="100" w:before="60" w:line="320"/>
            </w:pPr>
            <w:r>
              <w:t xml:space="preserve">Ein Fachgespräch dauert 30–35 Minuten pro Person. Für eine ganze Klasse passt das nicht in die zwei KN-Lektionen. Wählst du das Fachgespräch, führst du die Gespräche </w:t>
            </w:r>
            <w:r>
              <w:rPr>
                <w:b/>
                <w:bCs/>
              </w:rPr>
              <w:t xml:space="preserve">gestaffelt</w:t>
            </w:r>
            <w:r>
              <w:t xml:space="preserve"> in Woche 3 (Lektion 3) und in Woche 4 inklusive Puffer, während die übrigen Lernenden am Auftrag oder an ihrer Verbesserung arbeiten. Mini Case schriftlich und Werkschau passen in die zwei Lektionen.</w:t>
            </w:r>
          </w:p>
        </w:tc>
      </w:tr>
    </w:tbl>
    <w:p>
      <w:pPr>
        <w:spacing w:after="0" w:before="0"/>
      </w:pPr>
      <w:r>
        <w:rPr>
          <w:sz w:val="8"/>
          <w:szCs w:val="8"/>
        </w:rPr>
        <w:t xml:space="preserve"/>
      </w:r>
    </w:p>
    <w:p>
      <w:pPr>
        <w:pStyle w:val="Heading3"/>
        <w:keepNext/>
        <w:spacing w:after="80" w:before="280"/>
      </w:pPr>
      <w:r>
        <w:rPr>
          <w:rFonts w:ascii="Source Serif 4" w:cs="Source Serif 4" w:eastAsia="Source Serif 4" w:hAnsi="Source Serif 4"/>
          <w:b/>
          <w:bCs/>
          <w:color w:val="1A1A1A"/>
          <w:sz w:val="26"/>
          <w:szCs w:val="26"/>
        </w:rPr>
        <w:t xml:space="preserve">Seitenplan eines Hefts (135 Minuten, beide Spuren)</w:t>
      </w:r>
    </w:p>
    <w:p>
      <w:pPr>
        <w:spacing w:after="100" w:before="60" w:line="320"/>
      </w:pPr>
      <w:r>
        <w:t xml:space="preserve">Jedes Heft besteht aus zwei Bogen A3, also acht Seiten A4. Die Doppelseite 6–7 legt die Methodenkarten neben die Arbeitsfläche. Die Seitenfolge ist in beiden Heften und in beiden Spuren dieselbe.</w:t>
      </w:r>
    </w:p>
    <w:tbl>
      <w:tblPr>
        <w:tblW w:type="pct" w:w="100%"/>
        <w:tblBorders>
          <w:top w:val="single" w:color="DCDCDC" w:sz="4"/>
          <w:left w:val="single" w:color="DCDCDC" w:sz="4"/>
          <w:bottom w:val="single" w:color="DCDCDC" w:sz="4"/>
          <w:right w:val="single" w:color="DCDCDC" w:sz="4"/>
          <w:insideH w:val="single" w:color="DCDCDC" w:sz="4"/>
          <w:insideV w:val="single" w:color="DCDCDC" w:sz="4"/>
        </w:tblBorders>
        <w:tblLayout w:type="fixed"/>
      </w:tblPr>
      <w:tblGrid>
        <w:gridCol w:w="100"/>
        <w:gridCol w:w="100"/>
        <w:gridCol w:w="100"/>
        <w:gridCol w:w="100"/>
        <w:gridCol w:w="100"/>
      </w:tblGrid>
      <w:tr>
        <w:trPr>
          <w:tblHeader/>
        </w:trPr>
        <w:tc>
          <w:tcPr>
            <w:shd w:fill="1A1A1A" w:color="auto" w:val="clear"/>
            <w:tcMar>
              <w:top w:type="dxa" w:w="80"/>
              <w:left w:type="dxa" w:w="120"/>
              <w:bottom w:type="dxa" w:w="80"/>
              <w:right w:type="dxa" w:w="120"/>
            </w:tcMar>
          </w:tcPr>
          <w:p>
            <w:pPr>
              <w:spacing w:after="0" w:before="0"/>
            </w:pPr>
            <w:r>
              <w:rPr>
                <w:b/>
                <w:bCs/>
                <w:color w:val="FFFFFF"/>
                <w:sz w:val="19"/>
                <w:szCs w:val="19"/>
              </w:rPr>
              <w:t xml:space="preserve">S.</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Titel</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Lernende tun</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Spur-abhängig</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Min.</w:t>
            </w:r>
          </w:p>
        </w:tc>
      </w:tr>
      <w:tr>
        <w:tc>
          <w:tcPr>
            <w:tcMar>
              <w:top w:type="dxa" w:w="70"/>
              <w:left w:type="dxa" w:w="120"/>
              <w:bottom w:type="dxa" w:w="70"/>
              <w:right w:type="dxa" w:w="120"/>
            </w:tcMar>
          </w:tcPr>
          <w:p>
            <w:pPr>
              <w:spacing w:after="0" w:before="0"/>
            </w:pPr>
            <w:r>
              <w:rPr>
                <w:b w:val="false"/>
                <w:bCs w:val="false"/>
                <w:sz w:val="20"/>
                <w:szCs w:val="20"/>
              </w:rPr>
              <w:t xml:space="preserve">1</w:t>
            </w:r>
          </w:p>
        </w:tc>
        <w:tc>
          <w:tcPr>
            <w:tcMar>
              <w:top w:type="dxa" w:w="70"/>
              <w:left w:type="dxa" w:w="120"/>
              <w:bottom w:type="dxa" w:w="70"/>
              <w:right w:type="dxa" w:w="120"/>
            </w:tcMar>
          </w:tcPr>
          <w:p>
            <w:pPr>
              <w:spacing w:after="0" w:before="0"/>
            </w:pPr>
            <w:r>
              <w:rPr>
                <w:b w:val="false"/>
                <w:bCs w:val="false"/>
                <w:sz w:val="20"/>
                <w:szCs w:val="20"/>
              </w:rPr>
              <w:t xml:space="preserve">Herausforderung</w:t>
            </w:r>
          </w:p>
        </w:tc>
        <w:tc>
          <w:tcPr>
            <w:tcMar>
              <w:top w:type="dxa" w:w="70"/>
              <w:left w:type="dxa" w:w="120"/>
              <w:bottom w:type="dxa" w:w="70"/>
              <w:right w:type="dxa" w:w="120"/>
            </w:tcMar>
          </w:tcPr>
          <w:p>
            <w:pPr>
              <w:spacing w:after="0" w:before="0"/>
            </w:pPr>
            <w:r>
              <w:rPr>
                <w:b w:val="false"/>
                <w:bCs w:val="false"/>
                <w:sz w:val="20"/>
                <w:szCs w:val="20"/>
              </w:rPr>
              <w:t xml:space="preserve">Situation lesen, offene Fragen markieren</w:t>
            </w:r>
          </w:p>
        </w:tc>
        <w:tc>
          <w:tcPr>
            <w:tcMar>
              <w:top w:type="dxa" w:w="70"/>
              <w:left w:type="dxa" w:w="120"/>
              <w:bottom w:type="dxa" w:w="70"/>
              <w:right w:type="dxa" w:w="120"/>
            </w:tcMar>
          </w:tcPr>
          <w:p>
            <w:pPr>
              <w:spacing w:after="0" w:before="0"/>
            </w:pPr>
            <w:r>
              <w:rPr>
                <w:b w:val="false"/>
                <w:bCs w:val="false"/>
                <w:sz w:val="20"/>
                <w:szCs w:val="20"/>
              </w:rPr>
              <w:t xml:space="preserve">Medien: Kurzeintrag der Quelle (QR auf S. 3)</w:t>
            </w:r>
          </w:p>
        </w:tc>
        <w:tc>
          <w:tcPr>
            <w:tcMar>
              <w:top w:type="dxa" w:w="70"/>
              <w:left w:type="dxa" w:w="120"/>
              <w:bottom w:type="dxa" w:w="70"/>
              <w:right w:type="dxa" w:w="120"/>
            </w:tcMar>
          </w:tcPr>
          <w:p>
            <w:pPr>
              <w:spacing w:after="0" w:before="0"/>
            </w:pPr>
            <w:r>
              <w:rPr>
                <w:b w:val="false"/>
                <w:bCs w:val="false"/>
                <w:sz w:val="20"/>
                <w:szCs w:val="20"/>
              </w:rPr>
              <w:t xml:space="preserve">8</w:t>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2</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Wissensecke I</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LF1 und LF2 schriftlich</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27</w:t>
            </w:r>
          </w:p>
        </w:tc>
      </w:tr>
      <w:tr>
        <w:tc>
          <w:tcPr>
            <w:tcMar>
              <w:top w:type="dxa" w:w="70"/>
              <w:left w:type="dxa" w:w="120"/>
              <w:bottom w:type="dxa" w:w="70"/>
              <w:right w:type="dxa" w:w="120"/>
            </w:tcMar>
          </w:tcPr>
          <w:p>
            <w:pPr>
              <w:spacing w:after="0" w:before="0"/>
            </w:pPr>
            <w:r>
              <w:rPr>
                <w:b w:val="false"/>
                <w:bCs w:val="false"/>
                <w:sz w:val="20"/>
                <w:szCs w:val="20"/>
              </w:rPr>
              <w:t xml:space="preserve">3</w:t>
            </w:r>
          </w:p>
        </w:tc>
        <w:tc>
          <w:tcPr>
            <w:tcMar>
              <w:top w:type="dxa" w:w="70"/>
              <w:left w:type="dxa" w:w="120"/>
              <w:bottom w:type="dxa" w:w="70"/>
              <w:right w:type="dxa" w:w="120"/>
            </w:tcMar>
          </w:tcPr>
          <w:p>
            <w:pPr>
              <w:spacing w:after="0" w:before="0"/>
            </w:pPr>
            <w:r>
              <w:rPr>
                <w:b w:val="false"/>
                <w:bCs w:val="false"/>
                <w:sz w:val="20"/>
                <w:szCs w:val="20"/>
              </w:rPr>
              <w:t xml:space="preserve">Quelle</w:t>
            </w:r>
          </w:p>
        </w:tc>
        <w:tc>
          <w:tcPr>
            <w:tcMar>
              <w:top w:type="dxa" w:w="70"/>
              <w:left w:type="dxa" w:w="120"/>
              <w:bottom w:type="dxa" w:w="70"/>
              <w:right w:type="dxa" w:w="120"/>
            </w:tcMar>
          </w:tcPr>
          <w:p>
            <w:pPr>
              <w:spacing w:after="0" w:before="0"/>
            </w:pPr>
            <w:r>
              <w:rPr>
                <w:b w:val="false"/>
                <w:bCs w:val="false"/>
                <w:sz w:val="20"/>
                <w:szCs w:val="20"/>
              </w:rPr>
              <w:t xml:space="preserve">lesen, Raster füllen, Befund schreiben</w:t>
            </w:r>
          </w:p>
        </w:tc>
        <w:tc>
          <w:tcPr>
            <w:tcMar>
              <w:top w:type="dxa" w:w="70"/>
              <w:left w:type="dxa" w:w="120"/>
              <w:bottom w:type="dxa" w:w="70"/>
              <w:right w:type="dxa" w:w="120"/>
            </w:tcMar>
          </w:tcPr>
          <w:p>
            <w:pPr>
              <w:spacing w:after="0" w:before="0"/>
            </w:pPr>
            <w:r>
              <w:rPr>
                <w:b w:val="false"/>
                <w:bCs w:val="false"/>
                <w:sz w:val="20"/>
                <w:szCs w:val="20"/>
              </w:rPr>
              <w:t xml:space="preserve">LF3: Quelle (Medien) oder Lehrmittel-Abschnitt mit Beispielzeile (ohne)</w:t>
            </w:r>
          </w:p>
        </w:tc>
        <w:tc>
          <w:tcPr>
            <w:tcMar>
              <w:top w:type="dxa" w:w="70"/>
              <w:left w:type="dxa" w:w="120"/>
              <w:bottom w:type="dxa" w:w="70"/>
              <w:right w:type="dxa" w:w="120"/>
            </w:tcMar>
          </w:tcPr>
          <w:p>
            <w:pPr>
              <w:spacing w:after="0" w:before="0"/>
            </w:pPr>
            <w:r>
              <w:rPr>
                <w:b w:val="false"/>
                <w:bCs w:val="false"/>
                <w:sz w:val="20"/>
                <w:szCs w:val="20"/>
              </w:rPr>
              <w:t xml:space="preserve">25</w:t>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4</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Wissensecke II</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LF4 schriftlich</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Kasten: Vertiefung (Medien) oder Denkhilfe (ohne)</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15</w:t>
            </w:r>
          </w:p>
        </w:tc>
      </w:tr>
      <w:tr>
        <w:tc>
          <w:tcPr>
            <w:tcMar>
              <w:top w:type="dxa" w:w="70"/>
              <w:left w:type="dxa" w:w="120"/>
              <w:bottom w:type="dxa" w:w="70"/>
              <w:right w:type="dxa" w:w="120"/>
            </w:tcMar>
          </w:tcPr>
          <w:p>
            <w:pPr>
              <w:spacing w:after="0" w:before="0"/>
            </w:pPr>
            <w:r>
              <w:rPr>
                <w:b w:val="false"/>
                <w:bCs w:val="false"/>
                <w:sz w:val="20"/>
                <w:szCs w:val="20"/>
              </w:rPr>
              <w:t xml:space="preserve">5</w:t>
            </w:r>
          </w:p>
        </w:tc>
        <w:tc>
          <w:tcPr>
            <w:tcMar>
              <w:top w:type="dxa" w:w="70"/>
              <w:left w:type="dxa" w:w="120"/>
              <w:bottom w:type="dxa" w:w="70"/>
              <w:right w:type="dxa" w:w="120"/>
            </w:tcMar>
          </w:tcPr>
          <w:p>
            <w:pPr>
              <w:spacing w:after="0" w:before="0"/>
            </w:pPr>
            <w:r>
              <w:rPr>
                <w:b w:val="false"/>
                <w:bCs w:val="false"/>
                <w:sz w:val="20"/>
                <w:szCs w:val="20"/>
              </w:rPr>
              <w:t xml:space="preserve">Auftrag</w:t>
            </w:r>
          </w:p>
        </w:tc>
        <w:tc>
          <w:tcPr>
            <w:tcMar>
              <w:top w:type="dxa" w:w="70"/>
              <w:left w:type="dxa" w:w="120"/>
              <w:bottom w:type="dxa" w:w="70"/>
              <w:right w:type="dxa" w:w="120"/>
            </w:tcMar>
          </w:tcPr>
          <w:p>
            <w:pPr>
              <w:spacing w:after="0" w:before="0"/>
            </w:pPr>
            <w:r>
              <w:rPr>
                <w:b w:val="false"/>
                <w:bCs w:val="false"/>
                <w:sz w:val="20"/>
                <w:szCs w:val="20"/>
              </w:rPr>
              <w:t xml:space="preserve">Auftrag lesen; vor der Abgabe Stufe ankreuzen</w:t>
            </w:r>
          </w:p>
        </w:tc>
        <w:tc>
          <w:tcPr>
            <w:tcMar>
              <w:top w:type="dxa" w:w="70"/>
              <w:left w:type="dxa" w:w="120"/>
              <w:bottom w:type="dxa" w:w="70"/>
              <w:right w:type="dxa" w:w="120"/>
            </w:tcMar>
          </w:tcPr>
          <w:p>
            <w:pPr>
              <w:spacing w:after="0" w:before="0"/>
            </w:pPr>
            <w:r>
              <w:rPr>
                <w:b w:val="false"/>
                <w:bCs w:val="false"/>
                <w:sz w:val="20"/>
                <w:szCs w:val="20"/>
              </w:rPr>
              <w:t xml:space="preserve">—</w:t>
            </w:r>
          </w:p>
        </w:tc>
        <w:tc>
          <w:tcPr>
            <w:tcMar>
              <w:top w:type="dxa" w:w="70"/>
              <w:left w:type="dxa" w:w="120"/>
              <w:bottom w:type="dxa" w:w="70"/>
              <w:right w:type="dxa" w:w="120"/>
            </w:tcMar>
          </w:tcPr>
          <w:p>
            <w:pPr>
              <w:spacing w:after="0" w:before="0"/>
            </w:pPr>
            <w:r>
              <w:rPr>
                <w:b w:val="false"/>
                <w:bCs w:val="false"/>
                <w:sz w:val="20"/>
                <w:szCs w:val="20"/>
              </w:rPr>
              <w:t xml:space="preserve">5</w:t>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6</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Methoden und Beispiel</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nachschlagen; Beispiel des Produkts ansehen</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Karte 2: Rezeptionswerkzeug der Spur</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w:t>
            </w:r>
          </w:p>
        </w:tc>
      </w:tr>
      <w:tr>
        <w:tc>
          <w:tcPr>
            <w:tcMar>
              <w:top w:type="dxa" w:w="70"/>
              <w:left w:type="dxa" w:w="120"/>
              <w:bottom w:type="dxa" w:w="70"/>
              <w:right w:type="dxa" w:w="120"/>
            </w:tcMar>
          </w:tcPr>
          <w:p>
            <w:pPr>
              <w:spacing w:after="0" w:before="0"/>
            </w:pPr>
            <w:r>
              <w:rPr>
                <w:b w:val="false"/>
                <w:bCs w:val="false"/>
                <w:sz w:val="20"/>
                <w:szCs w:val="20"/>
              </w:rPr>
              <w:t xml:space="preserve">7</w:t>
            </w:r>
          </w:p>
        </w:tc>
        <w:tc>
          <w:tcPr>
            <w:tcMar>
              <w:top w:type="dxa" w:w="70"/>
              <w:left w:type="dxa" w:w="120"/>
              <w:bottom w:type="dxa" w:w="70"/>
              <w:right w:type="dxa" w:w="120"/>
            </w:tcMar>
          </w:tcPr>
          <w:p>
            <w:pPr>
              <w:spacing w:after="0" w:before="0"/>
            </w:pPr>
            <w:r>
              <w:rPr>
                <w:b w:val="false"/>
                <w:bCs w:val="false"/>
                <w:sz w:val="20"/>
                <w:szCs w:val="20"/>
              </w:rPr>
              <w:t xml:space="preserve">Arbeitsfläche</w:t>
            </w:r>
          </w:p>
        </w:tc>
        <w:tc>
          <w:tcPr>
            <w:tcMar>
              <w:top w:type="dxa" w:w="70"/>
              <w:left w:type="dxa" w:w="120"/>
              <w:bottom w:type="dxa" w:w="70"/>
              <w:right w:type="dxa" w:w="120"/>
            </w:tcMar>
          </w:tcPr>
          <w:p>
            <w:pPr>
              <w:spacing w:after="0" w:before="0"/>
            </w:pPr>
            <w:r>
              <w:rPr>
                <w:b w:val="false"/>
                <w:bCs w:val="false"/>
                <w:sz w:val="20"/>
                <w:szCs w:val="20"/>
              </w:rPr>
              <w:t xml:space="preserve">Produkt herstellen</w:t>
            </w:r>
          </w:p>
        </w:tc>
        <w:tc>
          <w:tcPr>
            <w:tcMar>
              <w:top w:type="dxa" w:w="70"/>
              <w:left w:type="dxa" w:w="120"/>
              <w:bottom w:type="dxa" w:w="70"/>
              <w:right w:type="dxa" w:w="120"/>
            </w:tcMar>
          </w:tcPr>
          <w:p>
            <w:pPr>
              <w:spacing w:after="0" w:before="0"/>
            </w:pPr>
            <w:r>
              <w:rPr>
                <w:b w:val="false"/>
                <w:bCs w:val="false"/>
                <w:sz w:val="20"/>
                <w:szCs w:val="20"/>
              </w:rPr>
              <w:t xml:space="preserve">—</w:t>
            </w:r>
          </w:p>
        </w:tc>
        <w:tc>
          <w:tcPr>
            <w:tcMar>
              <w:top w:type="dxa" w:w="70"/>
              <w:left w:type="dxa" w:w="120"/>
              <w:bottom w:type="dxa" w:w="70"/>
              <w:right w:type="dxa" w:w="120"/>
            </w:tcMar>
          </w:tcPr>
          <w:p>
            <w:pPr>
              <w:spacing w:after="0" w:before="0"/>
            </w:pPr>
            <w:r>
              <w:rPr>
                <w:b w:val="false"/>
                <w:bCs w:val="false"/>
                <w:sz w:val="20"/>
                <w:szCs w:val="20"/>
              </w:rPr>
              <w:t xml:space="preserve">40</w:t>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8</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Abschluss</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Begriffsnetz, Glossar, Quer-Check, «Das nehme ich mit», Checkliste</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Glossar: Begriffe der Quelle</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15</w:t>
            </w:r>
          </w:p>
        </w:tc>
      </w:tr>
    </w:tbl>
    <w:p>
      <w:pPr>
        <w:spacing w:after="0" w:before="0"/>
      </w:pPr>
      <w:r>
        <w:rPr>
          <w:sz w:val="8"/>
          <w:szCs w:val="8"/>
        </w:rPr>
        <w:t xml:space="preserve"/>
      </w:r>
    </w:p>
    <w:p>
      <w:pPr>
        <w:spacing w:after="100" w:before="60" w:line="320"/>
      </w:pPr>
      <w:r>
        <w:t xml:space="preserve">Seite 3 ist knapp gerechnet: höchstens 10 Minuten lesen, 12 Minuten Raster, 3 Minuten Befund. Die Minuten gelten pro Seite, nicht pro Lektion; wie die Seiten auf drei Lektionen fallen können, zeigt der Vorschlag oben. Im Heft steht auf Seite 1 nur die Übersicht in drei Teilen, ohne Woche und ohne Zeitangabe.</w:t>
      </w:r>
    </w:p>
    <w:tbl>
      <w:tblPr>
        <w:tblW w:type="pct" w:w="100%"/>
        <w:tblBorders>
          <w:top w:val="none" w:color="FFFFFF" w:sz="0"/>
          <w:left w:val="single" w:color="2A548C" w:sz="18"/>
          <w:bottom w:val="none" w:color="FFFFFF" w:sz="0"/>
          <w:right w:val="none" w:color="FFFFFF" w:sz="0"/>
          <w:insideH w:val="none" w:color="FFFFFF" w:sz="0"/>
          <w:insideV w:val="none" w:color="FFFFFF" w:sz="0"/>
        </w:tblBorders>
        <w:tblLayout w:type="fixed"/>
      </w:tblPr>
      <w:tblGrid>
        <w:gridCol w:w="100"/>
      </w:tblGrid>
      <w:tr>
        <w:tc>
          <w:tcPr>
            <w:shd w:fill="E8EEF7"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2A548C"/>
                <w:spacing w:val="12"/>
                <w:sz w:val="18"/>
                <w:szCs w:val="18"/>
              </w:rPr>
              <w:t xml:space="preserve">HINWEIS  ·  LEKTION 3 IST MEHR ALS VOLL</w:t>
            </w:r>
          </w:p>
          <w:p>
            <w:pPr>
              <w:spacing w:after="100" w:before="60" w:line="320"/>
            </w:pPr>
            <w:r>
              <w:t xml:space="preserve">Nach den Seitenminuten trägt Lektion 3 mehr als 45 Minuten: S. 5 (5) + S. 7 (40) + S. 8 (15) = 60 Minuten. Darum beginnt das Produkt schon in Lektion 2 (Landkarte bzw. Anpassungen und Regeln), und der Abschluss (S. 8) kann zu Beginn der nächsten Lektion stehen.</w:t>
            </w:r>
          </w:p>
        </w:tc>
      </w:tr>
    </w:tbl>
    <w:p>
      <w:pPr>
        <w:spacing w:after="0" w:before="0"/>
      </w:pPr>
      <w:r>
        <w:rPr>
          <w:sz w:val="8"/>
          <w:szCs w:val="8"/>
        </w:rPr>
        <w:t xml:space="preserve"/>
      </w:r>
    </w:p>
    <w:p>
      <w:pPr>
        <w:pStyle w:val="Heading2"/>
        <w:keepNext/>
        <w:pageBreakBefore/>
        <w:pBdr>
          <w:bottom w:val="single" w:color="80FF00" w:sz="18" w:space="6"/>
        </w:pBdr>
        <w:spacing w:after="160" w:before="0"/>
      </w:pPr>
      <w:bookmarkStart w:name="chap-2" w:id="1"/>
      <w:r>
        <w:rPr>
          <w:rFonts w:ascii="Source Serif 4" w:cs="Source Serif 4" w:eastAsia="Source Serif 4" w:hAnsi="Source Serif 4"/>
          <w:b/>
          <w:bCs/>
          <w:color w:val="1A1A1A"/>
          <w:sz w:val="36"/>
          <w:szCs w:val="36"/>
        </w:rPr>
        <w:t xml:space="preserve">2. Zwei Spuren: ohne Medien und mit Medien</w:t>
      </w:r>
      <w:bookmarkEnd w:id="1"/>
    </w:p>
    <w:p>
      <w:pPr>
        <w:spacing w:after="100" w:before="60" w:line="320"/>
      </w:pPr>
      <w:r>
        <w:t xml:space="preserve">Jedes Heft gibt es in zwei Spuren. Beide führen über denselben Kern zum selben Produkt; sie unterscheiden sich nur darin, </w:t>
      </w:r>
      <w:r>
        <w:rPr>
          <w:b/>
          <w:bCs/>
        </w:rPr>
        <w:t xml:space="preserve">wie</w:t>
      </w:r>
      <w:r>
        <w:t xml:space="preserve"> die Lernenden die Realität in den Blick nehmen: über einen Lehrmittel-Abschnitt mit mehr Gerüst (ohne Medien) oder über eine aktuelle Quelle (mit Medien).</w:t>
      </w:r>
    </w:p>
    <w:p>
      <w:pPr>
        <w:pStyle w:val="Heading3"/>
        <w:keepNext/>
        <w:spacing w:after="80" w:before="280"/>
      </w:pPr>
      <w:r>
        <w:rPr>
          <w:rFonts w:ascii="Source Serif 4" w:cs="Source Serif 4" w:eastAsia="Source Serif 4" w:hAnsi="Source Serif 4"/>
          <w:b/>
          <w:bCs/>
          <w:color w:val="1A1A1A"/>
          <w:sz w:val="26"/>
          <w:szCs w:val="26"/>
        </w:rPr>
        <w:t xml:space="preserve">Was gleich ist, was abweicht</w:t>
      </w:r>
    </w:p>
    <w:tbl>
      <w:tblPr>
        <w:tblW w:type="pct" w:w="100%"/>
        <w:tblBorders>
          <w:top w:val="single" w:color="DCDCDC" w:sz="4"/>
          <w:left w:val="single" w:color="DCDCDC" w:sz="4"/>
          <w:bottom w:val="single" w:color="DCDCDC" w:sz="4"/>
          <w:right w:val="single" w:color="DCDCDC" w:sz="4"/>
          <w:insideH w:val="single" w:color="DCDCDC" w:sz="4"/>
          <w:insideV w:val="single" w:color="DCDCDC" w:sz="4"/>
        </w:tblBorders>
        <w:tblLayout w:type="fixed"/>
      </w:tblPr>
      <w:tblGrid>
        <w:gridCol w:w="100"/>
        <w:gridCol w:w="100"/>
      </w:tblGrid>
      <w:tr>
        <w:trPr>
          <w:tblHeader/>
        </w:trPr>
        <w:tc>
          <w:tcPr>
            <w:shd w:fill="1A1A1A" w:color="auto" w:val="clear"/>
            <w:tcMar>
              <w:top w:type="dxa" w:w="80"/>
              <w:left w:type="dxa" w:w="120"/>
              <w:bottom w:type="dxa" w:w="80"/>
              <w:right w:type="dxa" w:w="120"/>
            </w:tcMar>
          </w:tcPr>
          <w:p>
            <w:pPr>
              <w:spacing w:after="0" w:before="0"/>
            </w:pPr>
            <w:r>
              <w:rPr>
                <w:b/>
                <w:bCs/>
                <w:color w:val="FFFFFF"/>
                <w:sz w:val="19"/>
                <w:szCs w:val="19"/>
              </w:rPr>
              <w:t xml:space="preserve">Gleich in beiden Spuren (Kern)</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Spur-abhängig</w:t>
            </w:r>
          </w:p>
        </w:tc>
      </w:tr>
      <w:tr>
        <w:tc>
          <w:tcPr>
            <w:tcMar>
              <w:top w:type="dxa" w:w="70"/>
              <w:left w:type="dxa" w:w="120"/>
              <w:bottom w:type="dxa" w:w="70"/>
              <w:right w:type="dxa" w:w="120"/>
            </w:tcMar>
          </w:tcPr>
          <w:p>
            <w:pPr>
              <w:spacing w:after="0" w:before="0"/>
            </w:pPr>
            <w:r>
              <w:rPr>
                <w:b w:val="false"/>
                <w:bCs w:val="false"/>
                <w:sz w:val="20"/>
                <w:szCs w:val="20"/>
              </w:rPr>
              <w:t xml:space="preserve">Situation, Leitfrage, Spannungsfeld, Persona, Zahlen</w:t>
            </w:r>
          </w:p>
        </w:tc>
        <w:tc>
          <w:tcPr>
            <w:tcMar>
              <w:top w:type="dxa" w:w="70"/>
              <w:left w:type="dxa" w:w="120"/>
              <w:bottom w:type="dxa" w:w="70"/>
              <w:right w:type="dxa" w:w="120"/>
            </w:tcMar>
          </w:tcPr>
          <w:p>
            <w:pPr>
              <w:spacing w:after="0" w:before="0"/>
            </w:pPr>
            <w:r>
              <w:rPr>
                <w:b w:val="false"/>
                <w:bCs w:val="false"/>
                <w:sz w:val="20"/>
                <w:szCs w:val="20"/>
              </w:rPr>
              <w:t xml:space="preserve">LF3: Quelle, Text, Raster, Lösung</w:t>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LF1 und LF2 mit Scaffolds und Lösungen</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LF4: Pol-Typ, Text, Scaffold, Lösung</w:t>
            </w:r>
          </w:p>
        </w:tc>
      </w:tr>
      <w:tr>
        <w:tc>
          <w:tcPr>
            <w:tcMar>
              <w:top w:type="dxa" w:w="70"/>
              <w:left w:type="dxa" w:w="120"/>
              <w:bottom w:type="dxa" w:w="70"/>
              <w:right w:type="dxa" w:w="120"/>
            </w:tcMar>
          </w:tcPr>
          <w:p>
            <w:pPr>
              <w:spacing w:after="0" w:before="0"/>
            </w:pPr>
            <w:r>
              <w:rPr>
                <w:b w:val="false"/>
                <w:bCs w:val="false"/>
                <w:sz w:val="20"/>
                <w:szCs w:val="20"/>
              </w:rPr>
              <w:t xml:space="preserve">Produkt, Schritte, Abgaben, Feedback-Kriterien</w:t>
            </w:r>
          </w:p>
        </w:tc>
        <w:tc>
          <w:tcPr>
            <w:tcMar>
              <w:top w:type="dxa" w:w="70"/>
              <w:left w:type="dxa" w:w="120"/>
              <w:bottom w:type="dxa" w:w="70"/>
              <w:right w:type="dxa" w:w="120"/>
            </w:tcMar>
          </w:tcPr>
          <w:p>
            <w:pPr>
              <w:spacing w:after="0" w:before="0"/>
            </w:pPr>
            <w:r>
              <w:rPr>
                <w:b w:val="false"/>
                <w:bCs w:val="false"/>
                <w:sz w:val="20"/>
                <w:szCs w:val="20"/>
              </w:rPr>
              <w:t xml:space="preserve">Quellen (nur Spur mit Medien)</w:t>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Methodenkarten 1, 3 und 4</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Methodenkarte 2 (Rezeptionswerkzeug)</w:t>
            </w:r>
          </w:p>
        </w:tc>
      </w:tr>
      <w:tr>
        <w:tc>
          <w:tcPr>
            <w:tcMar>
              <w:top w:type="dxa" w:w="70"/>
              <w:left w:type="dxa" w:w="120"/>
              <w:bottom w:type="dxa" w:w="70"/>
              <w:right w:type="dxa" w:w="120"/>
            </w:tcMar>
          </w:tcPr>
          <w:p>
            <w:pPr>
              <w:spacing w:after="0" w:before="0"/>
            </w:pPr>
            <w:r>
              <w:rPr>
                <w:b w:val="false"/>
                <w:bCs w:val="false"/>
                <w:sz w:val="20"/>
                <w:szCs w:val="20"/>
              </w:rPr>
              <w:t xml:space="preserve">Begriffsnetz, Glossar-Kern, Abschluss, Checkliste</w:t>
            </w:r>
          </w:p>
        </w:tc>
        <w:tc>
          <w:tcPr>
            <w:tcMar>
              <w:top w:type="dxa" w:w="70"/>
              <w:left w:type="dxa" w:w="120"/>
              <w:bottom w:type="dxa" w:w="70"/>
              <w:right w:type="dxa" w:w="120"/>
            </w:tcMar>
          </w:tcPr>
          <w:p>
            <w:pPr>
              <w:spacing w:after="0" w:before="0"/>
            </w:pPr>
            <w:r>
              <w:rPr>
                <w:b w:val="false"/>
                <w:bCs w:val="false"/>
                <w:sz w:val="20"/>
                <w:szCs w:val="20"/>
              </w:rPr>
              <w:t xml:space="preserve">Kasten auf S. 4: Vertiefung bzw. Denkhilfe · ein bis zwei Glossarbegriffe aus der Quelle</w:t>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Gemeinsamer Auftrag, KN</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die Stütze für die Grundanforderung (80 %)</w:t>
            </w:r>
          </w:p>
        </w:tc>
      </w:tr>
    </w:tbl>
    <w:p>
      <w:pPr>
        <w:spacing w:after="0" w:before="0"/>
      </w:pPr>
      <w:r>
        <w:rPr>
          <w:sz w:val="8"/>
          <w:szCs w:val="8"/>
        </w:rPr>
        <w:t xml:space="preserve"/>
      </w:r>
    </w:p>
    <w:p>
      <w:pPr>
        <w:pStyle w:val="Heading3"/>
        <w:keepNext/>
        <w:spacing w:after="80" w:before="280"/>
      </w:pPr>
      <w:r>
        <w:rPr>
          <w:rFonts w:ascii="Source Serif 4" w:cs="Source Serif 4" w:eastAsia="Source Serif 4" w:hAnsi="Source Serif 4"/>
          <w:b/>
          <w:bCs/>
          <w:color w:val="1A1A1A"/>
          <w:sz w:val="26"/>
          <w:szCs w:val="26"/>
        </w:rPr>
        <w:t xml:space="preserve">Die Spuren in dieser Einheit</w:t>
      </w:r>
    </w:p>
    <w:tbl>
      <w:tblPr>
        <w:tblW w:type="pct" w:w="100%"/>
        <w:tblBorders>
          <w:top w:val="single" w:color="DCDCDC" w:sz="4"/>
          <w:left w:val="single" w:color="DCDCDC" w:sz="4"/>
          <w:bottom w:val="single" w:color="DCDCDC" w:sz="4"/>
          <w:right w:val="single" w:color="DCDCDC" w:sz="4"/>
          <w:insideH w:val="single" w:color="DCDCDC" w:sz="4"/>
          <w:insideV w:val="single" w:color="DCDCDC" w:sz="4"/>
        </w:tblBorders>
        <w:tblLayout w:type="fixed"/>
      </w:tblPr>
      <w:tblGrid>
        <w:gridCol w:w="100"/>
        <w:gridCol w:w="100"/>
        <w:gridCol w:w="100"/>
      </w:tblGrid>
      <w:tr>
        <w:trPr>
          <w:tblHeader/>
        </w:trPr>
        <w:tc>
          <w:tcPr>
            <w:shd w:fill="1A1A1A" w:color="auto" w:val="clear"/>
            <w:tcMar>
              <w:top w:type="dxa" w:w="80"/>
              <w:left w:type="dxa" w:w="120"/>
              <w:bottom w:type="dxa" w:w="80"/>
              <w:right w:type="dxa" w:w="120"/>
            </w:tcMar>
          </w:tcPr>
          <w:p>
            <w:pPr>
              <w:spacing w:after="0" w:before="0"/>
            </w:pPr>
            <w:r>
              <w:rPr>
                <w:b/>
                <w:bCs/>
                <w:color w:val="FFFFFF"/>
                <w:sz w:val="19"/>
                <w:szCs w:val="19"/>
              </w:rPr>
              <w:t xml:space="preserve">Was</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Heft A</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Heft B</w:t>
            </w:r>
          </w:p>
        </w:tc>
      </w:tr>
      <w:tr>
        <w:tc>
          <w:tcPr>
            <w:tcMar>
              <w:top w:type="dxa" w:w="70"/>
              <w:left w:type="dxa" w:w="120"/>
              <w:bottom w:type="dxa" w:w="70"/>
              <w:right w:type="dxa" w:w="120"/>
            </w:tcMar>
          </w:tcPr>
          <w:p>
            <w:pPr>
              <w:spacing w:after="0" w:before="0"/>
            </w:pPr>
            <w:r>
              <w:rPr>
                <w:b w:val="false"/>
                <w:bCs w:val="false"/>
                <w:sz w:val="20"/>
                <w:szCs w:val="20"/>
              </w:rPr>
              <w:t xml:space="preserve">LF3, Spur ohne Medien</w:t>
            </w:r>
          </w:p>
        </w:tc>
        <w:tc>
          <w:tcPr>
            <w:tcMar>
              <w:top w:type="dxa" w:w="70"/>
              <w:left w:type="dxa" w:w="120"/>
              <w:bottom w:type="dxa" w:w="70"/>
              <w:right w:type="dxa" w:w="120"/>
            </w:tcMar>
          </w:tcPr>
          <w:p>
            <w:pPr>
              <w:spacing w:after="0" w:before="0"/>
            </w:pPr>
            <w:r>
              <w:rPr>
                <w:b w:val="false"/>
                <w:bCs w:val="false"/>
                <w:sz w:val="20"/>
                <w:szCs w:val="20"/>
              </w:rPr>
              <w:t xml:space="preserve">Lehrmittel Kap. 2.7, S. 73–77; Raster mit Beispielzeile, drei weitere Aussagen</w:t>
            </w:r>
          </w:p>
        </w:tc>
        <w:tc>
          <w:tcPr>
            <w:tcMar>
              <w:top w:type="dxa" w:w="70"/>
              <w:left w:type="dxa" w:w="120"/>
              <w:bottom w:type="dxa" w:w="70"/>
              <w:right w:type="dxa" w:w="120"/>
            </w:tcMar>
          </w:tcPr>
          <w:p>
            <w:pPr>
              <w:spacing w:after="0" w:before="0"/>
            </w:pPr>
            <w:r>
              <w:rPr>
                <w:b w:val="false"/>
                <w:bCs w:val="false"/>
                <w:sz w:val="20"/>
                <w:szCs w:val="20"/>
              </w:rPr>
              <w:t xml:space="preserve">Lehrmittel Kap. 8.2, S. 199–200; Raster mit Beispielzeile, drei weitere Aussagen</w:t>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LF3, Spur mit Medien</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Quelle: Artikel (nau.ch / Keystone-SDA); Raster ohne Beispielzeile</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Quelle: Statistik 2025 der Schuldenberatung Schweiz, Seite 7 (PDF); Raster ohne Beispielzeile</w:t>
            </w:r>
          </w:p>
        </w:tc>
      </w:tr>
      <w:tr>
        <w:tc>
          <w:tcPr>
            <w:tcMar>
              <w:top w:type="dxa" w:w="70"/>
              <w:left w:type="dxa" w:w="120"/>
              <w:bottom w:type="dxa" w:w="70"/>
              <w:right w:type="dxa" w:w="120"/>
            </w:tcMar>
          </w:tcPr>
          <w:p>
            <w:pPr>
              <w:spacing w:after="0" w:before="0"/>
            </w:pPr>
            <w:r>
              <w:rPr>
                <w:b w:val="false"/>
                <w:bCs w:val="false"/>
                <w:sz w:val="20"/>
                <w:szCs w:val="20"/>
              </w:rPr>
              <w:t xml:space="preserve">LF4, Pol-Typ ohne Medien</w:t>
            </w:r>
          </w:p>
        </w:tc>
        <w:tc>
          <w:tcPr>
            <w:tcMar>
              <w:top w:type="dxa" w:w="70"/>
              <w:left w:type="dxa" w:w="120"/>
              <w:bottom w:type="dxa" w:w="70"/>
              <w:right w:type="dxa" w:w="120"/>
            </w:tcMar>
          </w:tcPr>
          <w:p>
            <w:pPr>
              <w:spacing w:after="0" w:before="0"/>
            </w:pPr>
            <w:r>
              <w:rPr>
                <w:b w:val="false"/>
                <w:bCs w:val="false"/>
                <w:sz w:val="20"/>
                <w:szCs w:val="20"/>
              </w:rPr>
              <w:t xml:space="preserve">Modell ↔ eigener Fall</w:t>
            </w:r>
          </w:p>
        </w:tc>
        <w:tc>
          <w:tcPr>
            <w:tcMar>
              <w:top w:type="dxa" w:w="70"/>
              <w:left w:type="dxa" w:w="120"/>
              <w:bottom w:type="dxa" w:w="70"/>
              <w:right w:type="dxa" w:w="120"/>
            </w:tcMar>
          </w:tcPr>
          <w:p>
            <w:pPr>
              <w:spacing w:after="0" w:before="0"/>
            </w:pPr>
            <w:r>
              <w:rPr>
                <w:b w:val="false"/>
                <w:bCs w:val="false"/>
                <w:sz w:val="20"/>
                <w:szCs w:val="20"/>
              </w:rPr>
              <w:t xml:space="preserve">Position ↔ Gegenposition</w:t>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LF4, Pol-Typ mit Medien</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Lehrmittel ↔ Quelle</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Position ↔ Gegenposition</w:t>
            </w:r>
          </w:p>
        </w:tc>
      </w:tr>
      <w:tr>
        <w:tc>
          <w:tcPr>
            <w:tcMar>
              <w:top w:type="dxa" w:w="70"/>
              <w:left w:type="dxa" w:w="120"/>
              <w:bottom w:type="dxa" w:w="70"/>
              <w:right w:type="dxa" w:w="120"/>
            </w:tcMar>
          </w:tcPr>
          <w:p>
            <w:pPr>
              <w:spacing w:after="0" w:before="0"/>
            </w:pPr>
            <w:r>
              <w:rPr>
                <w:b w:val="false"/>
                <w:bCs w:val="false"/>
                <w:sz w:val="20"/>
                <w:szCs w:val="20"/>
              </w:rPr>
              <w:t xml:space="preserve">Kasten S. 4</w:t>
            </w:r>
          </w:p>
        </w:tc>
        <w:tc>
          <w:tcPr>
            <w:tcMar>
              <w:top w:type="dxa" w:w="70"/>
              <w:left w:type="dxa" w:w="120"/>
              <w:bottom w:type="dxa" w:w="70"/>
              <w:right w:type="dxa" w:w="120"/>
            </w:tcMar>
          </w:tcPr>
          <w:p>
            <w:pPr>
              <w:spacing w:after="0" w:before="0"/>
            </w:pPr>
            <w:r>
              <w:rPr>
                <w:b w:val="false"/>
                <w:bCs w:val="false"/>
                <w:sz w:val="20"/>
                <w:szCs w:val="20"/>
              </w:rPr>
              <w:t xml:space="preserve">ohne: Denkhilfe · mit: Vertiefung (2 Karten)</w:t>
            </w:r>
          </w:p>
        </w:tc>
        <w:tc>
          <w:tcPr>
            <w:tcMar>
              <w:top w:type="dxa" w:w="70"/>
              <w:left w:type="dxa" w:w="120"/>
              <w:bottom w:type="dxa" w:w="70"/>
              <w:right w:type="dxa" w:w="120"/>
            </w:tcMar>
          </w:tcPr>
          <w:p>
            <w:pPr>
              <w:spacing w:after="0" w:before="0"/>
            </w:pPr>
            <w:r>
              <w:rPr>
                <w:b w:val="false"/>
                <w:bCs w:val="false"/>
                <w:sz w:val="20"/>
                <w:szCs w:val="20"/>
              </w:rPr>
              <w:t xml:space="preserve">ohne: Denkhilfe · mit: Vertiefung (2 Karten)</w:t>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Methodenkarte 2</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ohne und mit: «Raster aus einer Quelle füllen»</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ohne: «Raster aus einer Quelle füllen» · mit: «Eine Grafik lesen»</w:t>
            </w:r>
          </w:p>
        </w:tc>
      </w:tr>
    </w:tbl>
    <w:p>
      <w:pPr>
        <w:spacing w:after="0" w:before="0"/>
      </w:pPr>
      <w:r>
        <w:rPr>
          <w:sz w:val="8"/>
          <w:szCs w:val="8"/>
        </w:rPr>
        <w:t xml:space="preserve"/>
      </w:r>
    </w:p>
    <w:p>
      <w:pPr>
        <w:spacing w:after="100" w:before="60" w:line="320"/>
      </w:pPr>
      <w:r>
        <w:t xml:space="preserve">In Heft B ist LF4 in beiden Spuren wortgleich, ebenso der Erwartungshorizont; die Spuren unterscheiden sich dort im Kasten auf S. 4 (Denkhilfe bzw. Vertiefung). Der Einwand, an dem die Lernenden ihre Anpassung prüfen, steht in beiden Spuren in der Leitfrage selbst.</w:t>
      </w:r>
    </w:p>
    <w:p>
      <w:pPr>
        <w:pStyle w:val="Heading3"/>
        <w:keepNext/>
        <w:spacing w:after="80" w:before="280"/>
      </w:pPr>
      <w:r>
        <w:rPr>
          <w:rFonts w:ascii="Source Serif 4" w:cs="Source Serif 4" w:eastAsia="Source Serif 4" w:hAnsi="Source Serif 4"/>
          <w:b/>
          <w:bCs/>
          <w:color w:val="1A1A1A"/>
          <w:sz w:val="26"/>
          <w:szCs w:val="26"/>
        </w:rPr>
        <w:t xml:space="preserve">Spur ohne Medien</w:t>
      </w:r>
    </w:p>
    <w:p>
      <w:pPr>
        <w:pStyle w:val="ListParagraph"/>
        <w:numPr>
          <w:ilvl w:val="0"/>
          <w:numId w:val="2"/>
        </w:numPr>
        <w:spacing w:after="30" w:before="30" w:line="300"/>
        <w:ind w:left="280" w:hanging="280"/>
      </w:pPr>
      <w:r>
        <w:rPr>
          <w:b/>
          <w:bCs/>
        </w:rPr>
        <w:t xml:space="preserve">LF3</w:t>
      </w:r>
      <w:r>
        <w:t xml:space="preserve"> arbeitet mit einem Lehrmittel-Abschnitt (Kapitel und Seite stehen auf S. 3). Das Raster hat vier Zeilen wie in der Medien-Spur, aber die erste Zeile ist </w:t>
      </w:r>
      <w:r>
        <w:rPr>
          <w:b/>
          <w:bCs/>
        </w:rPr>
        <w:t xml:space="preserve">vorausgefüllt</w:t>
      </w:r>
      <w:r>
        <w:t xml:space="preserve"> — sie ist das Beispiel; die Lernenden suchen </w:t>
      </w:r>
      <w:r>
        <w:rPr>
          <w:b/>
          <w:bCs/>
        </w:rPr>
        <w:t xml:space="preserve">drei weitere</w:t>
      </w:r>
      <w:r>
        <w:t xml:space="preserve"> Aussagen. (In Heft B tragen die Spalten der Medien-Spur andere Titel, weil dort eine Statistik gelesen wird.)</w:t>
      </w:r>
    </w:p>
    <w:p>
      <w:pPr>
        <w:pStyle w:val="ListParagraph"/>
        <w:numPr>
          <w:ilvl w:val="0"/>
          <w:numId w:val="2"/>
        </w:numPr>
        <w:spacing w:after="30" w:before="30" w:line="300"/>
        <w:ind w:left="280" w:hanging="280"/>
      </w:pPr>
      <w:r>
        <w:rPr>
          <w:b/>
          <w:bCs/>
        </w:rPr>
        <w:t xml:space="preserve">LF4</w:t>
      </w:r>
      <w:r>
        <w:t xml:space="preserve"> stellt zwei Pole ohne Medium gegenüber; auf S. 4 hilft eine </w:t>
      </w:r>
      <w:r>
        <w:rPr>
          <w:b/>
          <w:bCs/>
        </w:rPr>
        <w:t xml:space="preserve">Denkhilfe</w:t>
      </w:r>
      <w:r>
        <w:t xml:space="preserve"> (dreispaltige Tabelle), die Lernende vor dem Schreiben ausfüllen.</w:t>
      </w:r>
    </w:p>
    <w:p>
      <w:pPr>
        <w:pStyle w:val="ListParagraph"/>
        <w:numPr>
          <w:ilvl w:val="0"/>
          <w:numId w:val="2"/>
        </w:numPr>
        <w:spacing w:after="30" w:before="30" w:line="300"/>
        <w:ind w:left="280" w:hanging="280"/>
      </w:pPr>
      <w:r>
        <w:rPr>
          <w:b/>
          <w:bCs/>
        </w:rPr>
        <w:t xml:space="preserve">Warum:</w:t>
      </w:r>
      <w:r>
        <w:t xml:space="preserve"> Die Spur ist kein Notbehelf, sondern Differenzierung — mehr Struktur, weniger Material. Sie eignet sich für Klassen ohne Geräte und für Lernende, die mehr Gerüst brauchen.</w:t>
      </w:r>
    </w:p>
    <w:p>
      <w:pPr>
        <w:pStyle w:val="Heading3"/>
        <w:keepNext/>
        <w:spacing w:after="80" w:before="280"/>
      </w:pPr>
      <w:r>
        <w:rPr>
          <w:rFonts w:ascii="Source Serif 4" w:cs="Source Serif 4" w:eastAsia="Source Serif 4" w:hAnsi="Source Serif 4"/>
          <w:b/>
          <w:bCs/>
          <w:color w:val="1A1A1A"/>
          <w:sz w:val="26"/>
          <w:szCs w:val="26"/>
        </w:rPr>
        <w:t xml:space="preserve">Spur mit Medien</w:t>
      </w:r>
    </w:p>
    <w:p>
      <w:pPr>
        <w:pStyle w:val="ListParagraph"/>
        <w:numPr>
          <w:ilvl w:val="0"/>
          <w:numId w:val="2"/>
        </w:numPr>
        <w:spacing w:after="30" w:before="30" w:line="300"/>
        <w:ind w:left="280" w:hanging="280"/>
      </w:pPr>
      <w:r>
        <w:rPr>
          <w:b/>
          <w:bCs/>
        </w:rPr>
        <w:t xml:space="preserve">LF3</w:t>
      </w:r>
      <w:r>
        <w:t xml:space="preserve"> arbeitet mit einer </w:t>
      </w:r>
      <w:r>
        <w:rPr>
          <w:b/>
          <w:bCs/>
        </w:rPr>
        <w:t xml:space="preserve">Quelle</w:t>
      </w:r>
      <w:r>
        <w:t xml:space="preserve">: Kurzeintrag auf S. 1, Quellenkarte mit QR-Code, Auftrag und Raster auf S. 3, </w:t>
      </w:r>
      <w:r>
        <w:rPr>
          <w:b/>
          <w:bCs/>
        </w:rPr>
        <w:t xml:space="preserve">ohne</w:t>
      </w:r>
      <w:r>
        <w:t xml:space="preserve"> Beispielzeile.</w:t>
      </w:r>
    </w:p>
    <w:p>
      <w:pPr>
        <w:pStyle w:val="ListParagraph"/>
        <w:numPr>
          <w:ilvl w:val="0"/>
          <w:numId w:val="2"/>
        </w:numPr>
        <w:spacing w:after="30" w:before="30" w:line="300"/>
        <w:ind w:left="280" w:hanging="280"/>
      </w:pPr>
      <w:r>
        <w:rPr>
          <w:b/>
          <w:bCs/>
        </w:rPr>
        <w:t xml:space="preserve">LF4</w:t>
      </w:r>
      <w:r>
        <w:t xml:space="preserve"> darf die Quelle einbeziehen (Heft A: Lehrmittel gegen Quelle).</w:t>
      </w:r>
    </w:p>
    <w:p>
      <w:pPr>
        <w:pStyle w:val="ListParagraph"/>
        <w:numPr>
          <w:ilvl w:val="0"/>
          <w:numId w:val="2"/>
        </w:numPr>
        <w:spacing w:after="30" w:before="30" w:line="300"/>
        <w:ind w:left="280" w:hanging="280"/>
      </w:pPr>
      <w:r>
        <w:rPr>
          <w:b/>
          <w:bCs/>
        </w:rPr>
        <w:t xml:space="preserve">S. 4</w:t>
      </w:r>
      <w:r>
        <w:t xml:space="preserve"> zeigt im Kasten «Vertiefung» zwei weitere Quellen. Jede Karte nennt, was zu hören, zu sehen oder zu lesen ist, stellt eine Leitfrage und hat ein Feld «Meine Antwort». Die Karten sind </w:t>
      </w:r>
      <w:r>
        <w:rPr>
          <w:b/>
          <w:bCs/>
        </w:rPr>
        <w:t xml:space="preserve">freiwillig</w:t>
      </w:r>
      <w:r>
        <w:t xml:space="preserve"> (Plus, Hausaufgabe); ein leeres Raster dazu lässt sich auf der QR-Seite ausdrucken.</w:t>
      </w:r>
    </w:p>
    <w:p>
      <w:pPr>
        <w:pStyle w:val="Heading3"/>
        <w:keepNext/>
        <w:spacing w:after="80" w:before="280"/>
      </w:pPr>
      <w:r>
        <w:rPr>
          <w:rFonts w:ascii="Source Serif 4" w:cs="Source Serif 4" w:eastAsia="Source Serif 4" w:hAnsi="Source Serif 4"/>
          <w:b/>
          <w:bCs/>
          <w:color w:val="1A1A1A"/>
          <w:sz w:val="26"/>
          <w:szCs w:val="26"/>
        </w:rPr>
        <w:t xml:space="preserve">Welche Spur wann</w:t>
      </w:r>
    </w:p>
    <w:p>
      <w:pPr>
        <w:pStyle w:val="ListParagraph"/>
        <w:numPr>
          <w:ilvl w:val="0"/>
          <w:numId w:val="2"/>
        </w:numPr>
        <w:spacing w:after="30" w:before="30" w:line="300"/>
        <w:ind w:left="280" w:hanging="280"/>
      </w:pPr>
      <w:r>
        <w:rPr>
          <w:b/>
          <w:bCs/>
        </w:rPr>
        <w:t xml:space="preserve">Du wählst pro Klasse oder pro Lernende/n.</w:t>
      </w:r>
      <w:r>
        <w:t xml:space="preserve"> Weil Kern, Produkt, Kriterien und Auftrag gleich sind, können beide Spuren im selben Raum laufen.</w:t>
      </w:r>
    </w:p>
    <w:p>
      <w:pPr>
        <w:pStyle w:val="ListParagraph"/>
        <w:numPr>
          <w:ilvl w:val="0"/>
          <w:numId w:val="2"/>
        </w:numPr>
        <w:spacing w:after="30" w:before="30" w:line="300"/>
        <w:ind w:left="280" w:hanging="280"/>
      </w:pPr>
      <w:r>
        <w:rPr>
          <w:b/>
          <w:bCs/>
        </w:rPr>
        <w:t xml:space="preserve">Prüfregel:</w:t>
      </w:r>
      <w:r>
        <w:t xml:space="preserve"> Verlangt die Kompetenz eines Hefts Rezeption mündlich oder audiovisuell, gibt es für dieses Heft nur die Medien-Spur. Hier verlangen beide Hefte Rezeption schriftlich und bildlich — beide Spuren sind zulässig.</w:t>
      </w:r>
    </w:p>
    <w:p>
      <w:pPr>
        <w:pStyle w:val="ListParagraph"/>
        <w:numPr>
          <w:ilvl w:val="0"/>
          <w:numId w:val="2"/>
        </w:numPr>
        <w:spacing w:after="30" w:before="30" w:line="300"/>
        <w:ind w:left="280" w:hanging="280"/>
      </w:pPr>
      <w:r>
        <w:t xml:space="preserve">Die Plattform zeigt bei dieser Einheit zuerst die Spur ohne Medien; der Export enthält beide.</w:t>
      </w:r>
    </w:p>
    <w:tbl>
      <w:tblPr>
        <w:tblW w:type="pct" w:w="100%"/>
        <w:tblBorders>
          <w:top w:val="single" w:color="A07A14" w:sz="8"/>
          <w:left w:val="single" w:color="A07A14" w:sz="40"/>
          <w:bottom w:val="single" w:color="A07A14" w:sz="8"/>
          <w:right w:val="single" w:color="A07A14" w:sz="8"/>
          <w:insideH w:val="none" w:color="FFFFFF" w:sz="0"/>
          <w:insideV w:val="none" w:color="FFFFFF" w:sz="0"/>
        </w:tblBorders>
        <w:tblLayout w:type="fixed"/>
      </w:tblPr>
      <w:tblGrid>
        <w:gridCol w:w="100"/>
      </w:tblGrid>
      <w:tr>
        <w:tc>
          <w:tcPr>
            <w:shd w:fill="A07A14" w:color="auto" w:val="clear"/>
            <w:tcMar>
              <w:top w:type="dxa" w:w="70"/>
              <w:left w:type="dxa" w:w="220"/>
              <w:bottom w:type="dxa" w:w="70"/>
              <w:right w:type="dxa" w:w="180"/>
            </w:tcMar>
          </w:tcPr>
          <w:p>
            <w:pPr>
              <w:spacing w:after="0" w:before="0"/>
            </w:pPr>
            <w:r>
              <w:rPr>
                <w:rFonts w:ascii="Source Sans 3" w:cs="Source Sans 3" w:eastAsia="Source Sans 3" w:hAnsi="Source Sans 3"/>
                <w:b/>
                <w:bCs/>
                <w:color w:val="FFFFFF"/>
                <w:spacing w:val="16"/>
                <w:sz w:val="21"/>
                <w:szCs w:val="21"/>
              </w:rPr>
              <w:t xml:space="preserve">COACHING-MOVE  ·  ZWEI SPUREN IN EINEM ZIMMER</w:t>
            </w:r>
          </w:p>
        </w:tc>
      </w:tr>
      <w:tr>
        <w:tc>
          <w:tcPr>
            <w:shd w:fill="FDF5E1" w:color="auto" w:val="clear"/>
            <w:tcMar>
              <w:top w:type="dxa" w:w="150"/>
              <w:left w:type="dxa" w:w="220"/>
              <w:bottom w:type="dxa" w:w="150"/>
              <w:right w:type="dxa" w:w="180"/>
            </w:tcMar>
          </w:tcPr>
          <w:p>
            <w:pPr>
              <w:spacing w:after="100" w:before="60" w:line="320"/>
            </w:pPr>
            <w:r>
              <w:t xml:space="preserve">Bespreche im Plenum, was beide Spuren teilen: Situation, LF1 und LF2, Produkt, Feedback-Kriterien, Begriffsnetz. LF3 und LF4 besprichst du in zwei Gruppen nach Spur — die Lösungen in Kap. 3 und 4 sind dafür getrennt aufgeführt. Die Rückmeldung bleibt vergleichbar, weil die Kriterien in beiden Spuren dieselben sind.</w:t>
            </w:r>
          </w:p>
        </w:tc>
      </w:tr>
    </w:tbl>
    <w:p>
      <w:pPr>
        <w:spacing w:after="0" w:before="0"/>
      </w:pPr>
      <w:r>
        <w:rPr>
          <w:sz w:val="8"/>
          <w:szCs w:val="8"/>
        </w:rPr>
        <w:t xml:space="preserve"/>
      </w:r>
    </w:p>
    <w:p>
      <w:pPr>
        <w:pStyle w:val="Heading3"/>
        <w:keepNext/>
        <w:spacing w:after="80" w:before="280"/>
      </w:pPr>
      <w:r>
        <w:rPr>
          <w:rFonts w:ascii="Source Serif 4" w:cs="Source Serif 4" w:eastAsia="Source Serif 4" w:hAnsi="Source Serif 4"/>
          <w:b/>
          <w:bCs/>
          <w:color w:val="1A1A1A"/>
          <w:sz w:val="26"/>
          <w:szCs w:val="26"/>
        </w:rPr>
        <w:t xml:space="preserve">Vorbereitung der Spur mit Medien</w:t>
      </w:r>
    </w:p>
    <w:p>
      <w:pPr>
        <w:pStyle w:val="ListParagraph"/>
        <w:numPr>
          <w:ilvl w:val="0"/>
          <w:numId w:val="2"/>
        </w:numPr>
        <w:spacing w:after="30" w:before="30" w:line="300"/>
        <w:ind w:left="280" w:hanging="280"/>
      </w:pPr>
      <w:r>
        <w:rPr>
          <w:b/>
          <w:bCs/>
        </w:rPr>
        <w:t xml:space="preserve">QR-Seite:</w:t>
      </w:r>
      <w:r>
        <w:t xml:space="preserve"> Die QR-Codes in den Heften führen auf </w:t>
      </w:r>
      <w:r>
        <w:rPr>
          <w:rFonts w:ascii="JetBrains Mono" w:cs="JetBrains Mono" w:eastAsia="JetBrains Mono" w:hAnsi="JetBrains Mono"/>
          <w:color w:val="6A3E00"/>
          <w:shd w:fill="F0EEE8" w:color="auto" w:val="clear"/>
        </w:rPr>
        <w:t xml:space="preserve">https://bbw-hko.ch/m/1.3.1_konsum_verantworten_v42</w:t>
      </w:r>
      <w:r>
        <w:t xml:space="preserve"> — Heft A auf den Anker </w:t>
      </w:r>
      <w:r>
        <w:rPr>
          <w:rFonts w:ascii="JetBrains Mono" w:cs="JetBrains Mono" w:eastAsia="JetBrains Mono" w:hAnsi="JetBrains Mono"/>
          <w:color w:val="6A3E00"/>
          <w:shd w:fill="F0EEE8" w:color="auto" w:val="clear"/>
        </w:rPr>
        <w:t xml:space="preserve">#a</w:t>
      </w:r>
      <w:r>
        <w:t xml:space="preserve">, Heft B auf </w:t>
      </w:r>
      <w:r>
        <w:rPr>
          <w:rFonts w:ascii="JetBrains Mono" w:cs="JetBrains Mono" w:eastAsia="JetBrains Mono" w:hAnsi="JetBrains Mono"/>
          <w:color w:val="6A3E00"/>
          <w:shd w:fill="F0EEE8" w:color="auto" w:val="clear"/>
        </w:rPr>
        <w:t xml:space="preserve">#b</w:t>
      </w:r>
      <w:r>
        <w:t xml:space="preserve">. Öffne die Seite vor der Lektion einmal selbst.</w:t>
      </w:r>
    </w:p>
    <w:p>
      <w:pPr>
        <w:pStyle w:val="ListParagraph"/>
        <w:numPr>
          <w:ilvl w:val="0"/>
          <w:numId w:val="2"/>
        </w:numPr>
        <w:spacing w:after="30" w:before="30" w:line="300"/>
        <w:ind w:left="280" w:hanging="280"/>
      </w:pPr>
      <w:r>
        <w:rPr>
          <w:b/>
          <w:bCs/>
        </w:rPr>
        <w:t xml:space="preserve">Geräte:</w:t>
      </w:r>
      <w:r>
        <w:t xml:space="preserve"> Die Lernenden brauchen ein Gerät mit Internetzugang, auf dem sie die QR-Seite öffnen. Die Quellen sind ein Artikel (Heft A) und ein PDF, davon nur Seite 7 (Heft B), beide ohne Ton. Der Link öffnet das PDF auf Seite 7, manche Handys zeigen trotzdem Seite 1 — sag die Seitenzahl an.</w:t>
      </w:r>
    </w:p>
    <w:p>
      <w:pPr>
        <w:pStyle w:val="ListParagraph"/>
        <w:numPr>
          <w:ilvl w:val="0"/>
          <w:numId w:val="2"/>
        </w:numPr>
        <w:spacing w:after="30" w:before="30" w:line="300"/>
        <w:ind w:left="280" w:hanging="280"/>
      </w:pPr>
      <w:r>
        <w:rPr>
          <w:b/>
          <w:bCs/>
        </w:rPr>
        <w:t xml:space="preserve">Kopfhörer:</w:t>
      </w:r>
      <w:r>
        <w:t xml:space="preserve"> nur für die Vertiefungen. Vertiefung A1 und B1 sind Audiobeiträge, Vertiefung A2 ist ein Video in Mundart mit hochdeutschen Untertiteln.</w:t>
      </w:r>
    </w:p>
    <w:p>
      <w:pPr>
        <w:pStyle w:val="ListParagraph"/>
        <w:numPr>
          <w:ilvl w:val="0"/>
          <w:numId w:val="2"/>
        </w:numPr>
        <w:spacing w:after="30" w:before="30" w:line="300"/>
        <w:ind w:left="280" w:hanging="280"/>
      </w:pPr>
      <w:r>
        <w:rPr>
          <w:b/>
          <w:bCs/>
        </w:rPr>
        <w:t xml:space="preserve">Links:</w:t>
      </w:r>
      <w:r>
        <w:t xml:space="preserve"> Prüfe vor dem Einsatz die Links in Kap. 5 (Spalte «Geprüft am»).</w:t>
      </w:r>
    </w:p>
    <w:tbl>
      <w:tblPr>
        <w:tblW w:type="pct" w:w="100%"/>
        <w:tblBorders>
          <w:top w:val="none" w:color="FFFFFF" w:sz="0"/>
          <w:left w:val="single" w:color="B8232B" w:sz="18"/>
          <w:bottom w:val="none" w:color="FFFFFF" w:sz="0"/>
          <w:right w:val="none" w:color="FFFFFF" w:sz="0"/>
          <w:insideH w:val="none" w:color="FFFFFF" w:sz="0"/>
          <w:insideV w:val="none" w:color="FFFFFF" w:sz="0"/>
        </w:tblBorders>
        <w:tblLayout w:type="fixed"/>
      </w:tblPr>
      <w:tblGrid>
        <w:gridCol w:w="100"/>
      </w:tblGrid>
      <w:tr>
        <w:tc>
          <w:tcPr>
            <w:shd w:fill="FAECE9"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B8232B"/>
                <w:spacing w:val="12"/>
                <w:sz w:val="18"/>
                <w:szCs w:val="18"/>
              </w:rPr>
              <w:t xml:space="preserve">WARNUNG  ·  WENN EIN LINK NICHT GEHT</w:t>
            </w:r>
          </w:p>
          <w:p>
            <w:pPr>
              <w:spacing w:after="100" w:before="60" w:line="320"/>
            </w:pPr>
            <w:r>
              <w:t xml:space="preserve">Fällt die </w:t>
            </w:r>
            <w:r>
              <w:rPr>
                <w:b/>
                <w:bCs/>
              </w:rPr>
              <w:t xml:space="preserve">Quelle</w:t>
            </w:r>
            <w:r>
              <w:t xml:space="preserve"> aus, tritt die </w:t>
            </w:r>
            <w:r>
              <w:rPr>
                <w:b/>
                <w:bCs/>
              </w:rPr>
              <w:t xml:space="preserve">Ersatzquelle</w:t>
            </w:r>
            <w:r>
              <w:t xml:space="preserve"> an ihre Stelle: gleicher Auftrag, gleiches Raster (Kap. 5). In Heft B ist das die BFS-Grafik «Steuerrückstand 2024»; sie zeigt, wer im Rückstand ist, nicht wie man in Schulden gerät. Die Musterlösung zu LF3 der Medien-Spur nennt dafür eine eigene Zeile «Mit Ersatzquelle». Fällt eine </w:t>
            </w:r>
            <w:r>
              <w:rPr>
                <w:b/>
                <w:bCs/>
              </w:rPr>
              <w:t xml:space="preserve">Vertiefung</w:t>
            </w:r>
            <w:r>
              <w:t xml:space="preserve"> aus, entfällt sie — sie ist freiwillig. Geht gar nichts, bleibt die Spur ohne Medien: Ihre Seiten 3 und 4 brauchen nur das Lehrmittel, Kern, Produkt und Kriterien sind gleich. Halte dafür einige Exemplare bereit.</w:t>
            </w:r>
          </w:p>
        </w:tc>
      </w:tr>
    </w:tbl>
    <w:p>
      <w:pPr>
        <w:spacing w:after="0" w:before="0"/>
      </w:pPr>
      <w:r>
        <w:rPr>
          <w:sz w:val="8"/>
          <w:szCs w:val="8"/>
        </w:rPr>
        <w:t xml:space="preserve"/>
      </w:r>
    </w:p>
    <w:p>
      <w:pPr>
        <w:pStyle w:val="Heading2"/>
        <w:keepNext/>
        <w:pageBreakBefore/>
        <w:pBdr>
          <w:bottom w:val="single" w:color="80FF00" w:sz="18" w:space="6"/>
        </w:pBdr>
        <w:spacing w:after="160" w:before="0"/>
      </w:pPr>
      <w:bookmarkStart w:name="chap-3" w:id="1"/>
      <w:r>
        <w:rPr>
          <w:rFonts w:ascii="Source Serif 4" w:cs="Source Serif 4" w:eastAsia="Source Serif 4" w:hAnsi="Source Serif 4"/>
          <w:b/>
          <w:bCs/>
          <w:color w:val="1A1A1A"/>
          <w:sz w:val="36"/>
          <w:szCs w:val="36"/>
        </w:rPr>
        <w:t xml:space="preserve">3. Herausforderung A — Bedürfnisse ordnen</w:t>
      </w:r>
      <w:bookmarkEnd w:id="1"/>
    </w:p>
    <w:tbl>
      <w:tblPr>
        <w:tblW w:type="pct" w:w="100%"/>
        <w:tblBorders>
          <w:top w:val="single" w:color="DCDCDC" w:sz="4"/>
          <w:left w:val="single" w:color="DCDCDC" w:sz="4"/>
          <w:bottom w:val="single" w:color="DCDCDC" w:sz="4"/>
          <w:right w:val="single" w:color="DCDCDC" w:sz="4"/>
          <w:insideH w:val="single" w:color="DCDCDC" w:sz="4"/>
          <w:insideV w:val="single" w:color="DCDCDC" w:sz="4"/>
        </w:tblBorders>
        <w:tblLayout w:type="fixed"/>
      </w:tblPr>
      <w:tblGrid>
        <w:gridCol w:w="100"/>
        <w:gridCol w:w="100"/>
      </w:tblGrid>
      <w:tr>
        <w:trPr>
          <w:tblHeader/>
        </w:trPr>
        <w:tc>
          <w:tcPr>
            <w:shd w:fill="1A1A1A" w:color="auto" w:val="clear"/>
            <w:tcMar>
              <w:top w:type="dxa" w:w="80"/>
              <w:left w:type="dxa" w:w="120"/>
              <w:bottom w:type="dxa" w:w="80"/>
              <w:right w:type="dxa" w:w="120"/>
            </w:tcMar>
          </w:tcPr>
          <w:p>
            <w:pPr>
              <w:spacing w:after="0" w:before="0"/>
            </w:pPr>
            <w:r>
              <w:rPr>
                <w:b/>
                <w:bCs/>
                <w:color w:val="FFFFFF"/>
                <w:sz w:val="19"/>
                <w:szCs w:val="19"/>
              </w:rPr>
              <w:t xml:space="preserve">Feld</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Inhalt</w:t>
            </w:r>
          </w:p>
        </w:tc>
      </w:tr>
      <w:tr>
        <w:tc>
          <w:tcPr>
            <w:tcMar>
              <w:top w:type="dxa" w:w="70"/>
              <w:left w:type="dxa" w:w="120"/>
              <w:bottom w:type="dxa" w:w="70"/>
              <w:right w:type="dxa" w:w="120"/>
            </w:tcMar>
          </w:tcPr>
          <w:p>
            <w:pPr>
              <w:spacing w:after="0" w:before="0"/>
            </w:pPr>
            <w:r>
              <w:rPr>
                <w:b w:val="false"/>
                <w:bCs w:val="false"/>
                <w:sz w:val="20"/>
                <w:szCs w:val="20"/>
              </w:rPr>
              <w:t xml:space="preserve">Titel</w:t>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Marke oder echtes Bedürfnis?</w:t>
            </w:r>
            <w:r>
              <w:rPr>
                <w:b w:val="false"/>
                <w:bCs w:val="false"/>
                <w:sz w:val="20"/>
                <w:szCs w:val="20"/>
              </w:rPr>
              <w:t xml:space="preserve"/>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Herausforderung</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Bedürfnisse ordnen</w:t>
            </w:r>
            <w:r>
              <w:rPr>
                <w:b w:val="false"/>
                <w:bCs w:val="false"/>
                <w:sz w:val="20"/>
                <w:szCs w:val="20"/>
              </w:rPr>
              <w:t xml:space="preserve"/>
            </w:r>
            <w:r>
              <w:rPr>
                <w:b w:val="false"/>
                <w:bCs w:val="false"/>
                <w:sz w:val="20"/>
                <w:szCs w:val="20"/>
              </w:rPr>
              <w:t xml:space="preserve"> (1.3.1)</w:t>
            </w:r>
          </w:p>
        </w:tc>
      </w:tr>
      <w:tr>
        <w:tc>
          <w:tcPr>
            <w:tcMar>
              <w:top w:type="dxa" w:w="70"/>
              <w:left w:type="dxa" w:w="120"/>
              <w:bottom w:type="dxa" w:w="70"/>
              <w:right w:type="dxa" w:w="120"/>
            </w:tcMar>
          </w:tcPr>
          <w:p>
            <w:pPr>
              <w:spacing w:after="0" w:before="0"/>
            </w:pPr>
            <w:r>
              <w:rPr>
                <w:b w:val="false"/>
                <w:bCs w:val="false"/>
                <w:sz w:val="20"/>
                <w:szCs w:val="20"/>
              </w:rPr>
              <w:t xml:space="preserve">Persona</w:t>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Lernende/r EFZ, 1. Lehrjahr</w:t>
            </w:r>
            <w:r>
              <w:rPr>
                <w:b w:val="false"/>
                <w:bCs w:val="false"/>
                <w:sz w:val="20"/>
                <w:szCs w:val="20"/>
              </w:rPr>
              <w:t xml:space="preserve"/>
            </w:r>
            <w:r>
              <w:rPr>
                <w:b w:val="false"/>
                <w:bCs w:val="false"/>
                <w:sz w:val="20"/>
                <w:szCs w:val="20"/>
              </w:rPr>
              <w:t xml:space="preserve"> — </w:t>
            </w:r>
            <w:r>
              <w:rPr>
                <w:b w:val="false"/>
                <w:bCs w:val="false"/>
                <w:sz w:val="20"/>
                <w:szCs w:val="20"/>
              </w:rPr>
              <w:t xml:space="preserve"/>
            </w:r>
            <w:r>
              <w:rPr>
                <w:b w:val="false"/>
                <w:bCs w:val="false"/>
                <w:sz w:val="20"/>
                <w:szCs w:val="20"/>
              </w:rPr>
              <w:t xml:space="preserve">eigener Lehrbetrieb</w:t>
            </w:r>
            <w:r>
              <w:rPr>
                <w:b w:val="false"/>
                <w:bCs w:val="false"/>
                <w:sz w:val="20"/>
                <w:szCs w:val="20"/>
              </w:rPr>
              <w:t xml:space="preserve"/>
            </w:r>
            <w:r>
              <w:rPr>
                <w:b w:val="false"/>
                <w:bCs w:val="false"/>
                <w:sz w:val="20"/>
                <w:szCs w:val="20"/>
              </w:rPr>
              <w:t xml:space="preserve">, </w:t>
            </w:r>
            <w:r>
              <w:rPr>
                <w:b w:val="false"/>
                <w:bCs w:val="false"/>
                <w:sz w:val="20"/>
                <w:szCs w:val="20"/>
              </w:rPr>
              <w:t xml:space="preserve"/>
            </w:r>
            <w:r>
              <w:rPr>
                <w:b w:val="false"/>
                <w:bCs w:val="false"/>
                <w:sz w:val="20"/>
                <w:szCs w:val="20"/>
              </w:rPr>
              <w:t xml:space="preserve">eigener Wohnort</w:t>
            </w:r>
            <w:r>
              <w:rPr>
                <w:b w:val="false"/>
                <w:bCs w:val="false"/>
                <w:sz w:val="20"/>
                <w:szCs w:val="20"/>
              </w:rPr>
              <w:t xml:space="preserve"/>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Aspekte (Ges)</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Wirtschaft (R1), Identität und Sozialisation (R1)</w:t>
            </w:r>
          </w:p>
        </w:tc>
      </w:tr>
      <w:tr>
        <w:tc>
          <w:tcPr>
            <w:tcMar>
              <w:top w:type="dxa" w:w="70"/>
              <w:left w:type="dxa" w:w="120"/>
              <w:bottom w:type="dxa" w:w="70"/>
              <w:right w:type="dxa" w:w="120"/>
            </w:tcMar>
          </w:tcPr>
          <w:p>
            <w:pPr>
              <w:spacing w:after="0" w:before="0"/>
            </w:pPr>
            <w:r>
              <w:rPr>
                <w:b w:val="false"/>
                <w:bCs w:val="false"/>
                <w:sz w:val="20"/>
                <w:szCs w:val="20"/>
              </w:rPr>
              <w:t xml:space="preserve">Sprachmodi</w:t>
            </w:r>
          </w:p>
        </w:tc>
        <w:tc>
          <w:tcPr>
            <w:tcMar>
              <w:top w:type="dxa" w:w="70"/>
              <w:left w:type="dxa" w:w="120"/>
              <w:bottom w:type="dxa" w:w="70"/>
              <w:right w:type="dxa" w:w="120"/>
            </w:tcMar>
          </w:tcPr>
          <w:p>
            <w:pPr>
              <w:spacing w:after="0" w:before="0"/>
            </w:pPr>
            <w:r>
              <w:rPr>
                <w:b w:val="false"/>
                <w:bCs w:val="false"/>
                <w:sz w:val="20"/>
                <w:szCs w:val="20"/>
              </w:rPr>
              <w:t xml:space="preserve">Rezeption schriftlich und bildlich</w:t>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Schlüsselkompetenzen</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SK5, SK11, SK1</w:t>
            </w:r>
          </w:p>
        </w:tc>
      </w:tr>
      <w:tr>
        <w:tc>
          <w:tcPr>
            <w:tcMar>
              <w:top w:type="dxa" w:w="70"/>
              <w:left w:type="dxa" w:w="120"/>
              <w:bottom w:type="dxa" w:w="70"/>
              <w:right w:type="dxa" w:w="120"/>
            </w:tcMar>
          </w:tcPr>
          <w:p>
            <w:pPr>
              <w:spacing w:after="0" w:before="0"/>
            </w:pPr>
            <w:r>
              <w:rPr>
                <w:b w:val="false"/>
                <w:bCs w:val="false"/>
                <w:sz w:val="20"/>
                <w:szCs w:val="20"/>
              </w:rPr>
              <w:t xml:space="preserve">Spannungsfeld</w:t>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Eigener Massstab vs. sozialer Konsumdruck</w:t>
            </w:r>
            <w:r>
              <w:rPr>
                <w:b w:val="false"/>
                <w:bCs w:val="false"/>
                <w:sz w:val="20"/>
                <w:szCs w:val="20"/>
              </w:rPr>
              <w:t xml:space="preserve"/>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KN-Kriterien</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Fachkorrektheit (SuK), Position / Werthaltung (Ges)</w:t>
            </w:r>
          </w:p>
        </w:tc>
      </w:tr>
      <w:tr>
        <w:tc>
          <w:tcPr>
            <w:tcMar>
              <w:top w:type="dxa" w:w="70"/>
              <w:left w:type="dxa" w:w="120"/>
              <w:bottom w:type="dxa" w:w="70"/>
              <w:right w:type="dxa" w:w="120"/>
            </w:tcMar>
          </w:tcPr>
          <w:p>
            <w:pPr>
              <w:spacing w:after="0" w:before="0"/>
            </w:pPr>
            <w:r>
              <w:rPr>
                <w:b w:val="false"/>
                <w:bCs w:val="false"/>
                <w:sz w:val="20"/>
                <w:szCs w:val="20"/>
              </w:rPr>
              <w:t xml:space="preserve">Lehrmittel</w:t>
            </w:r>
          </w:p>
        </w:tc>
        <w:tc>
          <w:tcPr>
            <w:tcMar>
              <w:top w:type="dxa" w:w="70"/>
              <w:left w:type="dxa" w:w="120"/>
              <w:bottom w:type="dxa" w:w="70"/>
              <w:right w:type="dxa" w:w="120"/>
            </w:tcMar>
          </w:tcPr>
          <w:p>
            <w:pPr>
              <w:spacing w:after="0" w:before="0"/>
            </w:pPr>
            <w:r>
              <w:rPr>
                <w:b w:val="false"/>
                <w:bCs w:val="false"/>
                <w:sz w:val="20"/>
                <w:szCs w:val="20"/>
              </w:rPr>
              <w:t xml:space="preserve">Kap. 2.7, </w:t>
            </w:r>
            <w:r>
              <w:rPr>
                <w:b w:val="false"/>
                <w:bCs w:val="false"/>
                <w:sz w:val="20"/>
                <w:szCs w:val="20"/>
              </w:rPr>
              <w:t xml:space="preserve"/>
            </w:r>
            <w:r>
              <w:rPr>
                <w:b w:val="false"/>
                <w:bCs w:val="false"/>
                <w:sz w:val="20"/>
                <w:szCs w:val="20"/>
              </w:rPr>
              <w:t xml:space="preserve">Seite 73-77</w:t>
            </w:r>
            <w:r>
              <w:rPr>
                <w:b w:val="false"/>
                <w:bCs w:val="false"/>
                <w:sz w:val="20"/>
                <w:szCs w:val="20"/>
              </w:rPr>
              <w:t xml:space="preserve"/>
            </w:r>
            <w:r>
              <w:rPr>
                <w:b w:val="false"/>
                <w:bCs w:val="false"/>
                <w:sz w:val="20"/>
                <w:szCs w:val="20"/>
              </w:rPr>
              <w:t xml:space="preserve">; Kap. 17.2, </w:t>
            </w:r>
            <w:r>
              <w:rPr>
                <w:b w:val="false"/>
                <w:bCs w:val="false"/>
                <w:sz w:val="20"/>
                <w:szCs w:val="20"/>
              </w:rPr>
              <w:t xml:space="preserve"/>
            </w:r>
            <w:r>
              <w:rPr>
                <w:b w:val="false"/>
                <w:bCs w:val="false"/>
                <w:sz w:val="20"/>
                <w:szCs w:val="20"/>
              </w:rPr>
              <w:t xml:space="preserve">Seite 381-383</w:t>
            </w:r>
            <w:r>
              <w:rPr>
                <w:b w:val="false"/>
                <w:bCs w:val="false"/>
                <w:sz w:val="20"/>
                <w:szCs w:val="20"/>
              </w:rPr>
              <w:t xml:space="preserve"/>
            </w:r>
          </w:p>
        </w:tc>
      </w:tr>
    </w:tbl>
    <w:p>
      <w:pPr>
        <w:spacing w:after="0" w:before="0"/>
      </w:pPr>
      <w:r>
        <w:rPr>
          <w:sz w:val="8"/>
          <w:szCs w:val="8"/>
        </w:rPr>
        <w:t xml:space="preserve"/>
      </w:r>
    </w:p>
    <w:p>
      <w:pPr>
        <w:spacing w:after="100" w:before="60" w:line="320"/>
      </w:pPr>
      <w:r>
        <w:rPr>
          <w:b/>
          <w:bCs/>
        </w:rPr>
        <w:t xml:space="preserve">Die Situation</w:t>
      </w:r>
    </w:p>
    <w:p>
      <w:r>
        <w:rPr>
          <w:color w:val="7A7A7A"/>
          <w:sz w:val="20"/>
          <w:szCs w:val="20"/>
        </w:rPr>
        <w:t xml:space="preserve">
</w:t>
      </w:r>
    </w:p>
    <w:tbl>
      <w:tblPr>
        <w:tblW w:type="pct" w:w="100%"/>
        <w:tblBorders>
          <w:top w:val="none" w:color="FFFFFF" w:sz="0"/>
          <w:left w:val="single" w:color="4A4A4A" w:sz="18"/>
          <w:bottom w:val="none" w:color="FFFFFF" w:sz="0"/>
          <w:right w:val="none" w:color="FFFFFF" w:sz="0"/>
          <w:insideH w:val="none" w:color="FFFFFF" w:sz="0"/>
          <w:insideV w:val="none" w:color="FFFFFF" w:sz="0"/>
        </w:tblBorders>
        <w:tblLayout w:type="fixed"/>
      </w:tblPr>
      <w:tblGrid>
        <w:gridCol w:w="100"/>
      </w:tblGrid>
      <w:tr>
        <w:tc>
          <w:tcPr>
            <w:shd w:fill="F7F6F1" w:color="auto" w:val="clear"/>
            <w:tcMar>
              <w:top w:type="dxa" w:w="120"/>
              <w:left w:type="dxa" w:w="220"/>
              <w:bottom w:type="dxa" w:w="120"/>
              <w:right w:type="dxa" w:w="180"/>
            </w:tcMar>
          </w:tcPr>
          <w:p>
            <w:pPr>
              <w:spacing w:after="100" w:before="60" w:line="320"/>
            </w:pPr>
            <w:r>
              <w:t xml:space="preserve">Ich bin im 1. Lehrjahr und habe zum ersten Mal regelmässig eigenes Geld. Vor drei Wochen habe ich in der Mittagspause Kopfhörer für 250 Franken bestellt — zwei aus meiner Klasse hatten dieselben, und mein Feed zeigte sie mir tagelang. Seither liegen sie meistens in der Schublade; für unterwegs reichen meine alten. Das Geld fehlt mir seither. Jetzt kommt der nächste Wunsch: Ein Kollege verkauft sein Handy für 300 Franken und will bis Freitag Bescheid. Ich merke, dass ich bei beiden Käufen nicht sagen könnte, ob der Wunsch von mir kommt oder von aussen. Ich will meine Bedürfnisse ordnen und mir einen Massstab geben, bevor ich am Freitag antworte.</w:t>
            </w:r>
          </w:p>
        </w:tc>
      </w:tr>
    </w:tbl>
    <w:p>
      <w:pPr>
        <w:spacing w:after="0" w:before="0"/>
      </w:pPr>
      <w:r>
        <w:rPr>
          <w:sz w:val="8"/>
          <w:szCs w:val="8"/>
        </w:rPr>
        <w:t xml:space="preserve"/>
      </w:r>
    </w:p>
    <w:p>
      <w:r>
        <w:rPr>
          <w:color w:val="7A7A7A"/>
          <w:sz w:val="20"/>
          <w:szCs w:val="20"/>
        </w:rPr>
        <w:t xml:space="preserve"/>
      </w:r>
    </w:p>
    <w:p>
      <w:pPr>
        <w:spacing w:after="100" w:before="60" w:line="320"/>
      </w:pPr>
      <w:r>
        <w:rPr>
          <w:b/>
          <w:bCs/>
        </w:rPr>
        <w:t xml:space="preserve">Leitfrage:</w:t>
      </w:r>
      <w:r>
        <w:t xml:space="preserve"> «</w:t>
      </w:r>
      <w:r>
        <w:t xml:space="preserve"/>
      </w:r>
      <w:r>
        <w:t xml:space="preserve">Welche meiner Wünsche sind echte Bedürfnisse — und nach welchem Massstab entscheide ich, welchem ich folge?</w:t>
      </w:r>
      <w:r>
        <w:t xml:space="preserve"/>
      </w:r>
      <w:r>
        <w:t xml:space="preserve">»</w:t>
      </w:r>
    </w:p>
    <w:tbl>
      <w:tblPr>
        <w:tblW w:type="pct" w:w="100%"/>
        <w:tblBorders>
          <w:top w:val="single" w:color="DCDCDC" w:sz="4"/>
          <w:left w:val="single" w:color="DCDCDC" w:sz="4"/>
          <w:bottom w:val="single" w:color="DCDCDC" w:sz="4"/>
          <w:right w:val="single" w:color="DCDCDC" w:sz="4"/>
          <w:insideH w:val="single" w:color="DCDCDC" w:sz="4"/>
          <w:insideV w:val="single" w:color="DCDCDC" w:sz="4"/>
        </w:tblBorders>
        <w:tblLayout w:type="fixed"/>
      </w:tblPr>
      <w:tblGrid>
        <w:gridCol w:w="100"/>
        <w:gridCol w:w="100"/>
      </w:tblGrid>
      <w:tr>
        <w:trPr>
          <w:tblHeader/>
        </w:trPr>
        <w:tc>
          <w:tcPr>
            <w:shd w:fill="1A1A1A" w:color="auto" w:val="clear"/>
            <w:tcMar>
              <w:top w:type="dxa" w:w="80"/>
              <w:left w:type="dxa" w:w="120"/>
              <w:bottom w:type="dxa" w:w="80"/>
              <w:right w:type="dxa" w:w="120"/>
            </w:tcMar>
          </w:tcPr>
          <w:p>
            <w:pPr>
              <w:spacing w:after="0" w:before="0"/>
            </w:pPr>
            <w:r>
              <w:rPr>
                <w:b/>
                <w:bCs/>
                <w:color w:val="FFFFFF"/>
                <w:sz w:val="19"/>
                <w:szCs w:val="19"/>
              </w:rPr>
              <w:t xml:space="preserve">Zahl</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Wert</w:t>
            </w:r>
          </w:p>
        </w:tc>
      </w:tr>
      <w:tr>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Kopfhörer (Impulskauf vor drei Wochen)</w:t>
            </w:r>
            <w:r>
              <w:rPr>
                <w:b w:val="false"/>
                <w:bCs w:val="false"/>
                <w:sz w:val="20"/>
                <w:szCs w:val="20"/>
              </w:rPr>
              <w:t xml:space="preserve"/>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CHF 250</w:t>
            </w:r>
            <w:r>
              <w:rPr>
                <w:b w:val="false"/>
                <w:bCs w:val="false"/>
                <w:sz w:val="20"/>
                <w:szCs w:val="20"/>
              </w:rPr>
              <w:t xml:space="preserve"/>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Handy vom Kollegen (Zusage bis Freitag)</w:t>
            </w:r>
            <w:r>
              <w:rPr>
                <w:b w:val="false"/>
                <w:bCs w:val="false"/>
                <w:sz w:val="20"/>
                <w:szCs w:val="20"/>
              </w:rPr>
              <w:t xml:space="preserve"/>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CHF 300</w:t>
            </w:r>
            <w:r>
              <w:rPr>
                <w:b w:val="false"/>
                <w:bCs w:val="false"/>
                <w:sz w:val="20"/>
                <w:szCs w:val="20"/>
              </w:rPr>
              <w:t xml:space="preserve"/>
            </w:r>
          </w:p>
        </w:tc>
      </w:tr>
      <w:tr>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Lernendenlohn 1. Lehrjahr (netto, ca.)</w:t>
            </w:r>
            <w:r>
              <w:rPr>
                <w:b w:val="false"/>
                <w:bCs w:val="false"/>
                <w:sz w:val="20"/>
                <w:szCs w:val="20"/>
              </w:rPr>
              <w:t xml:space="preserve"/>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CHF 800</w:t>
            </w:r>
            <w:r>
              <w:rPr>
                <w:b w:val="false"/>
                <w:bCs w:val="false"/>
                <w:sz w:val="20"/>
                <w:szCs w:val="20"/>
              </w:rPr>
              <w:t xml:space="preserve"/>
            </w:r>
          </w:p>
        </w:tc>
      </w:tr>
    </w:tbl>
    <w:p>
      <w:pPr>
        <w:spacing w:after="0" w:before="0"/>
      </w:pPr>
      <w:r>
        <w:rPr>
          <w:sz w:val="8"/>
          <w:szCs w:val="8"/>
        </w:rPr>
        <w:t xml:space="preserve"/>
      </w:r>
    </w:p>
    <w:tbl>
      <w:tblPr>
        <w:tblW w:type="pct" w:w="100%"/>
        <w:tblBorders>
          <w:top w:val="none" w:color="FFFFFF" w:sz="0"/>
          <w:left w:val="single" w:color="2A548C" w:sz="18"/>
          <w:bottom w:val="none" w:color="FFFFFF" w:sz="0"/>
          <w:right w:val="none" w:color="FFFFFF" w:sz="0"/>
          <w:insideH w:val="none" w:color="FFFFFF" w:sz="0"/>
          <w:insideV w:val="none" w:color="FFFFFF" w:sz="0"/>
        </w:tblBorders>
        <w:tblLayout w:type="fixed"/>
      </w:tblPr>
      <w:tblGrid>
        <w:gridCol w:w="100"/>
      </w:tblGrid>
      <w:tr>
        <w:tc>
          <w:tcPr>
            <w:shd w:fill="E8EEF7"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2A548C"/>
                <w:spacing w:val="12"/>
                <w:sz w:val="18"/>
                <w:szCs w:val="18"/>
              </w:rPr>
              <w:t xml:space="preserve">HINWEIS  ·  WAS DIE SITUATION TRÄGT</w:t>
            </w:r>
          </w:p>
          <w:p>
            <w:pPr>
              <w:spacing w:after="100" w:before="60" w:line="320"/>
            </w:pPr>
            <w:r>
              <w:t xml:space="preserve">Authentisch (erster eigener Lohn, Markendruck) · verortet (eigene Klasse, eigener Feed) · echtes Problem (echt oder geweckt?) · affektiv (Gruppendruck) · kognitiv (Maslow anwenden) · aktiv (eigene Landkarte) · passend fürs 1. Lehrjahr. Kein Beruf, kein Ort: Der Reibungspunkt sind der Kauf vor drei Wochen und die Zusage bis Freitag, nicht die Branche.</w:t>
            </w:r>
          </w:p>
        </w:tc>
      </w:tr>
    </w:tbl>
    <w:p>
      <w:pPr>
        <w:spacing w:after="0" w:before="0"/>
      </w:pPr>
      <w:r>
        <w:rPr>
          <w:sz w:val="8"/>
          <w:szCs w:val="8"/>
        </w:rPr>
        <w:t xml:space="preserve"/>
      </w:r>
    </w:p>
    <w:p>
      <w:pPr>
        <w:pStyle w:val="Heading3"/>
        <w:keepNext/>
        <w:spacing w:after="80" w:before="280"/>
      </w:pPr>
      <w:r>
        <w:rPr>
          <w:rFonts w:ascii="Source Serif 4" w:cs="Source Serif 4" w:eastAsia="Source Serif 4" w:hAnsi="Source Serif 4"/>
          <w:b/>
          <w:bCs/>
          <w:color w:val="1A1A1A"/>
          <w:sz w:val="26"/>
          <w:szCs w:val="26"/>
        </w:rPr>
        <w:t xml:space="preserve">Produkt: </w:t>
      </w:r>
      <w:r>
        <w:rPr>
          <w:rFonts w:ascii="Source Serif 4" w:cs="Source Serif 4" w:eastAsia="Source Serif 4" w:hAnsi="Source Serif 4"/>
          <w:b/>
          <w:bCs/>
          <w:color w:val="1A1A1A"/>
          <w:sz w:val="26"/>
          <w:szCs w:val="26"/>
        </w:rPr>
        <w:t xml:space="preserve"/>
      </w:r>
      <w:r>
        <w:rPr>
          <w:rFonts w:ascii="Source Serif 4" w:cs="Source Serif 4" w:eastAsia="Source Serif 4" w:hAnsi="Source Serif 4"/>
          <w:b/>
          <w:bCs/>
          <w:color w:val="1A1A1A"/>
          <w:sz w:val="26"/>
          <w:szCs w:val="26"/>
        </w:rPr>
        <w:t xml:space="preserve">Meine Bedürfnis-Landkarte</w:t>
      </w:r>
      <w:r>
        <w:rPr>
          <w:rFonts w:ascii="Source Serif 4" w:cs="Source Serif 4" w:eastAsia="Source Serif 4" w:hAnsi="Source Serif 4"/>
          <w:b/>
          <w:bCs/>
          <w:color w:val="1A1A1A"/>
          <w:sz w:val="26"/>
          <w:szCs w:val="26"/>
        </w:rPr>
        <w:t xml:space="preserve"/>
      </w:r>
    </w:p>
    <w:p>
      <w:pPr>
        <w:spacing w:after="100" w:before="60" w:line="320"/>
      </w:pPr>
      <w:r>
        <w:rPr>
          <w:b/>
          <w:bCs/>
        </w:rPr>
        <w:t xml:space="preserve">Format:</w:t>
      </w:r>
      <w:r>
        <w:t xml:space="preserve"> </w:t>
      </w:r>
      <w:r>
        <w:t xml:space="preserve"/>
      </w:r>
      <w:r>
        <w:t xml:space="preserve">Eine A4-Übersicht, auf der Sie Ihre Bedürfnisse nach Kategorien ordnen, Einflüsse mit Farbe oder Symbol markieren und am Rand Ihren Massstab und Ihren Entscheid festhalten.</w:t>
      </w:r>
      <w:r>
        <w:t xml:space="preserve"/>
      </w:r>
    </w:p>
    <w:p>
      <w:pPr>
        <w:spacing w:after="100" w:before="60" w:line="320"/>
      </w:pPr>
      <w:r>
        <w:t xml:space="preserve">Die fünf Schritte auf S. 5:</w:t>
      </w:r>
    </w:p>
    <w:p>
      <w:pPr>
        <w:pStyle w:val="ListParagraph"/>
        <w:numPr>
          <w:ilvl w:val="0"/>
          <w:numId w:val="2"/>
        </w:numPr>
        <w:spacing w:after="30" w:before="30" w:line="300"/>
        <w:ind w:left="280" w:hanging="280"/>
      </w:pPr>
      <w:r>
        <w:t xml:space="preserve">Schritt </w:t>
      </w:r>
      <w:r>
        <w:t xml:space="preserve"/>
      </w:r>
      <w:r>
        <w:t xml:space="preserve">01 Karte einteilen</w:t>
      </w:r>
      <w:r>
        <w:t xml:space="preserve"/>
      </w:r>
      <w:r>
        <w:t xml:space="preserve">: </w:t>
      </w:r>
      <w:r>
        <w:t xml:space="preserve"/>
      </w:r>
      <w:r>
        <w:t xml:space="preserve">Teilen Sie das Blatt in Felder ein, zum Beispiel nach Existenz- und Wahlbedürfnissen oder nach den Maslow-Stufen (LF1).</w:t>
      </w:r>
      <w:r>
        <w:t xml:space="preserve"/>
      </w:r>
    </w:p>
    <w:p>
      <w:pPr>
        <w:pStyle w:val="ListParagraph"/>
        <w:numPr>
          <w:ilvl w:val="0"/>
          <w:numId w:val="2"/>
        </w:numPr>
        <w:spacing w:after="30" w:before="30" w:line="300"/>
        <w:ind w:left="280" w:hanging="280"/>
      </w:pPr>
      <w:r>
        <w:t xml:space="preserve">Schritt </w:t>
      </w:r>
      <w:r>
        <w:t xml:space="preserve"/>
      </w:r>
      <w:r>
        <w:t xml:space="preserve">02 Einträge verdichten</w:t>
      </w:r>
      <w:r>
        <w:t xml:space="preserve"/>
      </w:r>
      <w:r>
        <w:t xml:space="preserve">: </w:t>
      </w:r>
      <w:r>
        <w:t xml:space="preserve"/>
      </w:r>
      <w:r>
        <w:t xml:space="preserve">Tragen Sie mindestens acht Einträge ein (fünf haben Sie aus LF2), je Gut → Bedürfnis, als Stichwort.</w:t>
      </w:r>
      <w:r>
        <w:t xml:space="preserve"/>
      </w:r>
    </w:p>
    <w:p>
      <w:pPr>
        <w:pStyle w:val="ListParagraph"/>
        <w:numPr>
          <w:ilvl w:val="0"/>
          <w:numId w:val="2"/>
        </w:numPr>
        <w:spacing w:after="30" w:before="30" w:line="300"/>
        <w:ind w:left="280" w:hanging="280"/>
      </w:pPr>
      <w:r>
        <w:t xml:space="preserve">Schritt </w:t>
      </w:r>
      <w:r>
        <w:t xml:space="preserve"/>
      </w:r>
      <w:r>
        <w:t xml:space="preserve">03 Einflüsse belegen</w:t>
      </w:r>
      <w:r>
        <w:t xml:space="preserve"/>
      </w:r>
      <w:r>
        <w:t xml:space="preserve">: </w:t>
      </w:r>
      <w:r>
        <w:t xml:space="preserve"/>
      </w:r>
      <w:r>
        <w:t xml:space="preserve">Markieren Sie jeden Eintrag mit Farbe oder Symbol: echt, geweckt oder geweckt, aber berechtigt. Bei geweckten: Einfluss notieren (LF3).</w:t>
      </w:r>
      <w:r>
        <w:t xml:space="preserve"/>
      </w:r>
    </w:p>
    <w:p>
      <w:pPr>
        <w:pStyle w:val="ListParagraph"/>
        <w:numPr>
          <w:ilvl w:val="0"/>
          <w:numId w:val="2"/>
        </w:numPr>
        <w:spacing w:after="30" w:before="30" w:line="300"/>
        <w:ind w:left="280" w:hanging="280"/>
      </w:pPr>
      <w:r>
        <w:t xml:space="preserve">Schritt </w:t>
      </w:r>
      <w:r>
        <w:t xml:space="preserve"/>
      </w:r>
      <w:r>
        <w:t xml:space="preserve">04 Massstab entscheiden</w:t>
      </w:r>
      <w:r>
        <w:t xml:space="preserve"/>
      </w:r>
      <w:r>
        <w:t xml:space="preserve">: </w:t>
      </w:r>
      <w:r>
        <w:t xml:space="preserve"/>
      </w:r>
      <w:r>
        <w:t xml:space="preserve">Schreiben Sie Ihren Massstab-Satz aus LF4 an den Rand und darunter Ihren Entscheid zum Handy.</w:t>
      </w:r>
      <w:r>
        <w:t xml:space="preserve"/>
      </w:r>
    </w:p>
    <w:p>
      <w:pPr>
        <w:pStyle w:val="ListParagraph"/>
        <w:numPr>
          <w:ilvl w:val="0"/>
          <w:numId w:val="2"/>
        </w:numPr>
        <w:spacing w:after="30" w:before="30" w:line="300"/>
        <w:ind w:left="280" w:hanging="280"/>
      </w:pPr>
      <w:r>
        <w:t xml:space="preserve">Schritt </w:t>
      </w:r>
      <w:r>
        <w:t xml:space="preserve"/>
      </w:r>
      <w:r>
        <w:t xml:space="preserve">05 Prüfen</w:t>
      </w:r>
      <w:r>
        <w:t xml:space="preserve"/>
      </w:r>
      <w:r>
        <w:t xml:space="preserve">: </w:t>
      </w:r>
      <w:r>
        <w:t xml:space="preserve"/>
      </w:r>
      <w:r>
        <w:t xml:space="preserve">Schätzen Sie sich mit den zwei Feedback-Kriterien ein und verbessern Sie eine Stelle.</w:t>
      </w:r>
      <w:r>
        <w:t xml:space="preserve"/>
      </w:r>
    </w:p>
    <w:p>
      <w:pPr>
        <w:spacing w:after="100" w:before="60" w:line="320"/>
      </w:pPr>
      <w:r>
        <w:rPr>
          <w:b/>
          <w:bCs/>
        </w:rPr>
        <w:t xml:space="preserve">Abgaben</w:t>
      </w:r>
    </w:p>
    <w:p>
      <w:r>
        <w:rPr>
          <w:color w:val="7A7A7A"/>
          <w:sz w:val="20"/>
          <w:szCs w:val="20"/>
        </w:rPr>
        <w:t xml:space="preserve">
</w:t>
      </w:r>
    </w:p>
    <w:p>
      <w:pPr>
        <w:pStyle w:val="ListParagraph"/>
        <w:numPr>
          <w:ilvl w:val="0"/>
          <w:numId w:val="2"/>
        </w:numPr>
        <w:spacing w:after="30" w:before="30" w:line="300"/>
        <w:ind w:left="280" w:hanging="280"/>
      </w:pPr>
      <w:r>
        <w:t xml:space="preserve">Bedürfnis-Landkarte A4 (mind. 8 Einträge, Legende mit drei Markierungen)</w:t>
      </w:r>
    </w:p>
    <w:p>
      <w:pPr>
        <w:pStyle w:val="ListParagraph"/>
        <w:numPr>
          <w:ilvl w:val="0"/>
          <w:numId w:val="2"/>
        </w:numPr>
        <w:spacing w:after="30" w:before="30" w:line="300"/>
        <w:ind w:left="280" w:hanging="280"/>
      </w:pPr>
      <w:r>
        <w:t xml:space="preserve">Massstab-Satz und Entscheid zum Handy am Kartenrand</w:t>
      </w:r>
    </w:p>
    <w:p>
      <w:pPr>
        <w:pStyle w:val="ListParagraph"/>
        <w:numPr>
          <w:ilvl w:val="0"/>
          <w:numId w:val="2"/>
        </w:numPr>
        <w:spacing w:after="30" w:before="30" w:line="300"/>
        <w:ind w:left="280" w:hanging="280"/>
      </w:pPr>
      <w:r>
        <w:t xml:space="preserve">Raster zur Quelle (S. 3)</w:t>
      </w:r>
    </w:p>
    <w:p>
      <w:r>
        <w:rPr>
          <w:color w:val="7A7A7A"/>
          <w:sz w:val="20"/>
          <w:szCs w:val="20"/>
        </w:rPr>
        <w:t xml:space="preserve"/>
      </w:r>
    </w:p>
    <w:p>
      <w:pPr>
        <w:pStyle w:val="Heading3"/>
        <w:keepNext/>
        <w:spacing w:after="80" w:before="280"/>
      </w:pPr>
      <w:r>
        <w:rPr>
          <w:rFonts w:ascii="Source Serif 4" w:cs="Source Serif 4" w:eastAsia="Source Serif 4" w:hAnsi="Source Serif 4"/>
          <w:b/>
          <w:bCs/>
          <w:color w:val="1A1A1A"/>
          <w:sz w:val="26"/>
          <w:szCs w:val="26"/>
        </w:rPr>
        <w:t xml:space="preserve">Hinweise zu jeder Seite</w:t>
      </w:r>
    </w:p>
    <w:p>
      <w:pPr>
        <w:spacing w:after="100" w:before="60" w:line="320"/>
      </w:pPr>
      <w:r>
        <w:rPr>
          <w:b/>
          <w:bCs/>
        </w:rPr>
        <w:t xml:space="preserve">S. 1 — Herausforderung (8 Min.).</w:t>
      </w:r>
      <w:r>
        <w:t xml:space="preserve"> Die Lernenden markieren beim Lesen, was offen ist. Genau diese Fragen hakt der Quer-Check auf S. 8 wieder ab — lass sie darum nicht überspringen. In der Medien-Spur steht hier der Kurzeintrag der Quelle; der QR-Code steht auf S. 3, wo sie gebraucht wird.</w:t>
      </w:r>
    </w:p>
    <w:p>
      <w:pPr>
        <w:spacing w:after="100" w:before="60" w:line="320"/>
      </w:pPr>
      <w:r>
        <w:rPr>
          <w:b/>
          <w:bCs/>
        </w:rPr>
        <w:t xml:space="preserve">S. 2 — Wissensecke I (27 Min.).</w:t>
      </w:r>
      <w:r>
        <w:t xml:space="preserve"> LF1 (Verstehen) liefert die Kategorien der Landkarte: Existenz- und Wahlbedürfnis, die fünf Stufen nach Maslow und den Unterschied zwischen Bedürfnis und Gut (Kap. 2.7, S. 73–75). LF2 (Anwenden) verlangt fünf eigene Anschaffungen oder Wünsche im Dreischritt Gut → Bedürfnis → Art.</w:t>
      </w:r>
    </w:p>
    <w:tbl>
      <w:tblPr>
        <w:tblW w:type="pct" w:w="100%"/>
        <w:tblBorders>
          <w:top w:val="single" w:color="A07A14" w:sz="8"/>
          <w:left w:val="single" w:color="A07A14" w:sz="40"/>
          <w:bottom w:val="single" w:color="A07A14" w:sz="8"/>
          <w:right w:val="single" w:color="A07A14" w:sz="8"/>
          <w:insideH w:val="none" w:color="FFFFFF" w:sz="0"/>
          <w:insideV w:val="none" w:color="FFFFFF" w:sz="0"/>
        </w:tblBorders>
        <w:tblLayout w:type="fixed"/>
      </w:tblPr>
      <w:tblGrid>
        <w:gridCol w:w="100"/>
      </w:tblGrid>
      <w:tr>
        <w:tc>
          <w:tcPr>
            <w:shd w:fill="A07A14" w:color="auto" w:val="clear"/>
            <w:tcMar>
              <w:top w:type="dxa" w:w="70"/>
              <w:left w:type="dxa" w:w="220"/>
              <w:bottom w:type="dxa" w:w="70"/>
              <w:right w:type="dxa" w:w="180"/>
            </w:tcMar>
          </w:tcPr>
          <w:p>
            <w:pPr>
              <w:spacing w:after="0" w:before="0"/>
            </w:pPr>
            <w:r>
              <w:rPr>
                <w:rFonts w:ascii="Source Sans 3" w:cs="Source Sans 3" w:eastAsia="Source Sans 3" w:hAnsi="Source Sans 3"/>
                <w:b/>
                <w:bCs/>
                <w:color w:val="FFFFFF"/>
                <w:spacing w:val="16"/>
                <w:sz w:val="21"/>
                <w:szCs w:val="21"/>
              </w:rPr>
              <w:t xml:space="preserve">COACHING-MOVE  ·  LF1 UND LF2</w:t>
            </w:r>
          </w:p>
        </w:tc>
      </w:tr>
      <w:tr>
        <w:tc>
          <w:tcPr>
            <w:shd w:fill="FDF5E1" w:color="auto" w:val="clear"/>
            <w:tcMar>
              <w:top w:type="dxa" w:w="150"/>
              <w:left w:type="dxa" w:w="220"/>
              <w:bottom w:type="dxa" w:w="150"/>
              <w:right w:type="dxa" w:w="180"/>
            </w:tcMar>
          </w:tcPr>
          <w:p>
            <w:pPr>
              <w:spacing w:after="100" w:before="60" w:line="320"/>
            </w:pPr>
            <w:r>
              <w:t xml:space="preserve">Lass die Lernenden zuerst eigene Beispiele in die Pyramide einordnen, bevor du die Fachbegriffe abfragst — so wird die Theorie am eigenen Konsum verankert. Bestehe bei LF2 auf echten, eigenen Beispielen. Wer nur «Essen, Wohnen» nennt, wird aufgefordert, auch die Wahlbedürfnisse offen zu benennen.</w:t>
            </w:r>
          </w:p>
        </w:tc>
      </w:tr>
    </w:tbl>
    <w:p>
      <w:pPr>
        <w:spacing w:after="0" w:before="0"/>
      </w:pPr>
      <w:r>
        <w:rPr>
          <w:sz w:val="8"/>
          <w:szCs w:val="8"/>
        </w:rPr>
        <w:t xml:space="preserve"/>
      </w:r>
    </w:p>
    <w:p>
      <w:pPr>
        <w:spacing w:after="100" w:before="60" w:line="320"/>
      </w:pPr>
      <w:r>
        <w:rPr>
          <w:b/>
          <w:bCs/>
        </w:rPr>
        <w:t xml:space="preserve">S. 3 — Quelle (25 Min.).</w:t>
      </w:r>
    </w:p>
    <w:p>
      <w:pPr>
        <w:pStyle w:val="ListParagraph"/>
        <w:numPr>
          <w:ilvl w:val="0"/>
          <w:numId w:val="2"/>
        </w:numPr>
        <w:spacing w:after="30" w:before="30" w:line="300"/>
        <w:ind w:left="280" w:hanging="280"/>
      </w:pPr>
      <w:r>
        <w:rPr>
          <w:i/>
          <w:iCs/>
        </w:rPr>
        <w:t xml:space="preserve">Spur ohne Medien:</w:t>
      </w:r>
      <w:r>
        <w:t xml:space="preserve"> Lehrmittel Kap. 2.7, S. 73–77. Einen Abschnitt «Einflüsse auf Bedürfnisse» gibt es im Lehrmittel nicht; LF3 fragt darum, wodurch </w:t>
      </w:r>
      <w:r>
        <w:rPr>
          <w:b/>
          <w:bCs/>
        </w:rPr>
        <w:t xml:space="preserve">Kaufwünsche und Nachfrage</w:t>
      </w:r>
      <w:r>
        <w:t xml:space="preserve"> beeinflusst werden. Die erste Rasterzeile ist das Beispiel und belegt die Werbung (S. 73); gesucht sind </w:t>
      </w:r>
      <w:r>
        <w:rPr>
          <w:b/>
          <w:bCs/>
        </w:rPr>
        <w:t xml:space="preserve">drei weitere</w:t>
      </w:r>
      <w:r>
        <w:t xml:space="preserve"> Aussagen. Die Fundstellen liegen auf S. 74, 76 und 77. Fünf Seiten in zehn Leseminuten sind knapp — verweise auf die drei Fundseiten, die auch die Strategien im Heft nennen.</w:t>
      </w:r>
    </w:p>
    <w:p>
      <w:pPr>
        <w:pStyle w:val="ListParagraph"/>
        <w:numPr>
          <w:ilvl w:val="0"/>
          <w:numId w:val="2"/>
        </w:numPr>
        <w:spacing w:after="30" w:before="30" w:line="300"/>
        <w:ind w:left="280" w:hanging="280"/>
      </w:pPr>
      <w:r>
        <w:rPr>
          <w:i/>
          <w:iCs/>
        </w:rPr>
        <w:t xml:space="preserve">Spur mit Medien:</w:t>
      </w:r>
      <w:r>
        <w:t xml:space="preserve"> Quelle ist ein Agenturartikel (421 Wörter) über eine Studie mit 10- bis 17-Jährigen. Das Raster fragt nach Absatz, Kernaussage, Beleg oder Zahl und dem Begriff aus LF1.</w:t>
      </w:r>
    </w:p>
    <w:p>
      <w:pPr>
        <w:spacing w:after="100" w:before="60" w:line="320"/>
      </w:pPr>
      <w:r>
        <w:rPr>
          <w:b/>
          <w:bCs/>
        </w:rPr>
        <w:t xml:space="preserve">S. 4 — Wissensecke II (15 Min.).</w:t>
      </w:r>
      <w:r>
        <w:t xml:space="preserve"> LF4 verlangt einen überprüfbaren Massstab und den Entscheid zum Handy.</w:t>
      </w:r>
    </w:p>
    <w:p>
      <w:pPr>
        <w:pStyle w:val="ListParagraph"/>
        <w:numPr>
          <w:ilvl w:val="0"/>
          <w:numId w:val="2"/>
        </w:numPr>
        <w:spacing w:after="30" w:before="30" w:line="300"/>
        <w:ind w:left="280" w:hanging="280"/>
      </w:pPr>
      <w:r>
        <w:rPr>
          <w:i/>
          <w:iCs/>
        </w:rPr>
        <w:t xml:space="preserve">Spur ohne Medien:</w:t>
      </w:r>
      <w:r>
        <w:t xml:space="preserve"> Modell gegen eigenen Fall — wo passt Maslow auf den Wunsch nach dem Handy, wo nicht? Die Denkhilfe (Dafür · Dagegen · Mein Entscheid) wird vor dem Schreiben ausgefüllt.</w:t>
      </w:r>
    </w:p>
    <w:p>
      <w:pPr>
        <w:pStyle w:val="ListParagraph"/>
        <w:numPr>
          <w:ilvl w:val="0"/>
          <w:numId w:val="2"/>
        </w:numPr>
        <w:spacing w:after="30" w:before="30" w:line="300"/>
        <w:ind w:left="280" w:hanging="280"/>
      </w:pPr>
      <w:r>
        <w:rPr>
          <w:i/>
          <w:iCs/>
        </w:rPr>
        <w:t xml:space="preserve">Spur mit Medien:</w:t>
      </w:r>
      <w:r>
        <w:t xml:space="preserve"> Lehrmittel gegen Quelle — kann ein geweckter Wunsch ein echtes Bedürfnis treffen? Der Kasten «Vertiefung» ist freiwillig.</w:t>
      </w:r>
    </w:p>
    <w:tbl>
      <w:tblPr>
        <w:tblW w:type="pct" w:w="100%"/>
        <w:tblBorders>
          <w:top w:val="none" w:color="FFFFFF" w:sz="0"/>
          <w:left w:val="single" w:color="A12061" w:sz="18"/>
          <w:bottom w:val="none" w:color="FFFFFF" w:sz="0"/>
          <w:right w:val="none" w:color="FFFFFF" w:sz="0"/>
          <w:insideH w:val="none" w:color="FFFFFF" w:sz="0"/>
          <w:insideV w:val="none" w:color="FFFFFF" w:sz="0"/>
        </w:tblBorders>
        <w:tblLayout w:type="fixed"/>
      </w:tblPr>
      <w:tblGrid>
        <w:gridCol w:w="100"/>
      </w:tblGrid>
      <w:tr>
        <w:tc>
          <w:tcPr>
            <w:shd w:fill="FBE7F1"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A12061"/>
                <w:spacing w:val="12"/>
                <w:sz w:val="18"/>
                <w:szCs w:val="18"/>
              </w:rPr>
              <w:t xml:space="preserve">ERWARTUNGSHORIZONT  ·  VERTIEFUNG 1 (SPUR MIT MEDIEN, AUDIO) — BEZAHLTE WERBUNG ERKENNEN</w:t>
            </w:r>
          </w:p>
          <w:p>
            <w:pPr>
              <w:spacing w:after="100" w:before="60" w:line="320"/>
            </w:pPr>
            <w:r>
              <w:t xml:space="preserve">Erwartet sind zwei bis drei Merkmale: Kennzeichnungswörter wie Werbung, Ad oder gesponsert, oft versteckt · ein Rabattcode oder ein Produkt, das auffällig im Mittelpunkt steht · nur Positives, kein Nachteil · die Prüffrage vor dem Kauf (Vertraue ich der Person, brauche ich das?).
Stand: aus dem Begleittext von SRF zum Beitrag. Das Audio selbst ist nicht gegengehört.</w:t>
            </w:r>
          </w:p>
        </w:tc>
      </w:tr>
    </w:tbl>
    <w:p>
      <w:pPr>
        <w:spacing w:after="0" w:before="0"/>
      </w:pPr>
      <w:r>
        <w:rPr>
          <w:sz w:val="8"/>
          <w:szCs w:val="8"/>
        </w:rPr>
        <w:t xml:space="preserve"/>
      </w:r>
    </w:p>
    <w:tbl>
      <w:tblPr>
        <w:tblW w:type="pct" w:w="100%"/>
        <w:tblBorders>
          <w:top w:val="none" w:color="FFFFFF" w:sz="0"/>
          <w:left w:val="single" w:color="A12061" w:sz="18"/>
          <w:bottom w:val="none" w:color="FFFFFF" w:sz="0"/>
          <w:right w:val="none" w:color="FFFFFF" w:sz="0"/>
          <w:insideH w:val="none" w:color="FFFFFF" w:sz="0"/>
          <w:insideV w:val="none" w:color="FFFFFF" w:sz="0"/>
        </w:tblBorders>
        <w:tblLayout w:type="fixed"/>
      </w:tblPr>
      <w:tblGrid>
        <w:gridCol w:w="100"/>
      </w:tblGrid>
      <w:tr>
        <w:tc>
          <w:tcPr>
            <w:shd w:fill="FBE7F1"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A12061"/>
                <w:spacing w:val="12"/>
                <w:sz w:val="18"/>
                <w:szCs w:val="18"/>
              </w:rPr>
              <w:t xml:space="preserve">ERWARTUNGSHORIZONT  ·  VERTIEFUNG 2 (SPUR MIT MEDIEN, VIDEO 00:35–06:29) — GEFÄLSCHTE MARKENARTIKEL</w:t>
            </w:r>
          </w:p>
          <w:p>
            <w:pPr>
              <w:spacing w:after="100" w:before="60" w:line="320"/>
            </w:pPr>
            <w:r>
              <w:t xml:space="preserve">Bedürfnis: dazugehören und beim Trend mitgehen, Markenlook trotz knappem Geld (Dazugehörigkeit, Anerkennung). Risiko: Die Einfuhr ist auch für den Eigengebrauch verboten, der Zoll hält Pakete zurück; Verfahren und Kosten gehen vom Markeninhaber aus.
Weitere Risiken (etwa Gesundheit oder Zahlungsdaten) nennt der Ausschnitt nicht; wer sie anführt, geht über den Ausschnitt hinaus.</w:t>
            </w:r>
          </w:p>
        </w:tc>
      </w:tr>
    </w:tbl>
    <w:p>
      <w:pPr>
        <w:spacing w:after="0" w:before="0"/>
      </w:pPr>
      <w:r>
        <w:rPr>
          <w:sz w:val="8"/>
          <w:szCs w:val="8"/>
        </w:rPr>
        <w:t xml:space="preserve"/>
      </w:r>
    </w:p>
    <w:tbl>
      <w:tblPr>
        <w:tblW w:type="pct" w:w="100%"/>
        <w:tblBorders>
          <w:top w:val="single" w:color="A07A14" w:sz="8"/>
          <w:left w:val="single" w:color="A07A14" w:sz="40"/>
          <w:bottom w:val="single" w:color="A07A14" w:sz="8"/>
          <w:right w:val="single" w:color="A07A14" w:sz="8"/>
          <w:insideH w:val="none" w:color="FFFFFF" w:sz="0"/>
          <w:insideV w:val="none" w:color="FFFFFF" w:sz="0"/>
        </w:tblBorders>
        <w:tblLayout w:type="fixed"/>
      </w:tblPr>
      <w:tblGrid>
        <w:gridCol w:w="100"/>
      </w:tblGrid>
      <w:tr>
        <w:tc>
          <w:tcPr>
            <w:shd w:fill="A07A14" w:color="auto" w:val="clear"/>
            <w:tcMar>
              <w:top w:type="dxa" w:w="70"/>
              <w:left w:type="dxa" w:w="220"/>
              <w:bottom w:type="dxa" w:w="70"/>
              <w:right w:type="dxa" w:w="180"/>
            </w:tcMar>
          </w:tcPr>
          <w:p>
            <w:pPr>
              <w:spacing w:after="0" w:before="0"/>
            </w:pPr>
            <w:r>
              <w:rPr>
                <w:rFonts w:ascii="Source Sans 3" w:cs="Source Sans 3" w:eastAsia="Source Sans 3" w:hAnsi="Source Sans 3"/>
                <w:b/>
                <w:bCs/>
                <w:color w:val="FFFFFF"/>
                <w:spacing w:val="16"/>
                <w:sz w:val="21"/>
                <w:szCs w:val="21"/>
              </w:rPr>
              <w:t xml:space="preserve">COACHING-MOVE  ·  MASSSTAB STATT GEFÜHL</w:t>
            </w:r>
          </w:p>
        </w:tc>
      </w:tr>
      <w:tr>
        <w:tc>
          <w:tcPr>
            <w:shd w:fill="FDF5E1" w:color="auto" w:val="clear"/>
            <w:tcMar>
              <w:top w:type="dxa" w:w="150"/>
              <w:left w:type="dxa" w:w="220"/>
              <w:bottom w:type="dxa" w:w="150"/>
              <w:right w:type="dxa" w:w="180"/>
            </w:tcMar>
          </w:tcPr>
          <w:p>
            <w:pPr>
              <w:spacing w:after="100" w:before="60" w:line="320"/>
            </w:pPr>
            <w:r>
              <w:t xml:space="preserve">Ein Massstab ist dann gut, wenn die Lernende in einem Monat mit Ja oder Nein sagen kann, ob sie ihn eingehalten hat. Die Methodenkarte «3B-Schema» hilft beim Begründen: den Massstab als Behauptung schreiben, in einem Satz begründen und am Beispiel Handy prüfen. «Ich kaufe nur, was ich wirklich brauche» ist noch keiner; «Ich kaufe nur, wenn ich den Wunsch zwei Wochen später noch habe» schon.</w:t>
            </w:r>
          </w:p>
        </w:tc>
      </w:tr>
    </w:tbl>
    <w:p>
      <w:pPr>
        <w:spacing w:after="0" w:before="0"/>
      </w:pPr>
      <w:r>
        <w:rPr>
          <w:sz w:val="8"/>
          <w:szCs w:val="8"/>
        </w:rPr>
        <w:t xml:space="preserve"/>
      </w:r>
    </w:p>
    <w:p>
      <w:pPr>
        <w:spacing w:after="100" w:before="60" w:line="320"/>
      </w:pPr>
      <w:r>
        <w:rPr>
          <w:b/>
          <w:bCs/>
        </w:rPr>
        <w:t xml:space="preserve">S. 5 — Auftrag (5 Min.).</w:t>
      </w:r>
      <w:r>
        <w:t xml:space="preserve"> Die Lernenden lesen Produkt, Schritte und Abgaben und sehen die zwei Feedback-Kriterien. Vor der Abgabe kreuzen sie in der Spalte «Selbst» ihre Stufe an; Schritt 05 verlangt danach eine Verbesserung.</w:t>
      </w:r>
    </w:p>
    <w:p>
      <w:pPr>
        <w:spacing w:after="100" w:before="60" w:line="320"/>
      </w:pPr>
      <w:r>
        <w:rPr>
          <w:b/>
          <w:bCs/>
        </w:rPr>
        <w:t xml:space="preserve">S. 6 — Methoden.</w:t>
      </w:r>
      <w:r>
        <w:t xml:space="preserve"> Vier Karten: «Stichwortnotizen» für die Einträge, das Rezeptionswerkzeug der Spur für das Raster, «Echt oder geweckt prüfen» für die Markierung und «3B-Schema» für den Massstab-Satz und den Entscheid. Genau zwei Karten tragen ein Beispiel (Rezeptionswerkzeug und «Echt oder geweckt prüfen») — so verlangt es die Methodenseite. Die Rezeptionskarte zeigt in den Heften ein </w:t>
      </w:r>
      <w:r>
        <w:rPr>
          <w:b/>
          <w:bCs/>
        </w:rPr>
        <w:t xml:space="preserve">neutrales</w:t>
      </w:r>
      <w:r>
        <w:t xml:space="preserve"> Beispiel (Vereinssport, mit Beispielwert) — so wirkt es nicht wie ein Befund aus der Quelle.</w:t>
      </w:r>
    </w:p>
    <w:p>
      <w:pPr>
        <w:spacing w:after="100" w:before="60" w:line="320"/>
      </w:pPr>
      <w:r>
        <w:rPr>
          <w:b/>
          <w:bCs/>
        </w:rPr>
        <w:t xml:space="preserve">S. 6 unten — «So kann Ihr Produkt aussehen».</w:t>
      </w:r>
      <w:r>
        <w:t xml:space="preserve"> Unter den Karten steht eine ausgefüllte Landkarte </w:t>
      </w:r>
      <w:r>
        <w:rPr>
          <w:b/>
          <w:bCs/>
        </w:rPr>
        <w:t xml:space="preserve">an einem anderen Fall</w:t>
      </w:r>
      <w:r>
        <w:t xml:space="preserve"> (Spielkonsole). Sie zeigt die Form — Felder, Einträge im Muster Gut → Bedürfnis, Legende mit drei Zeichen, Massstab und Entscheid am Rand —, nicht die Lösung zum eigenen Fall. Die mögliche Lösung zum Fall des Hefts liegt als </w:t>
      </w:r>
      <w:r>
        <w:rPr>
          <w:b/>
          <w:bCs/>
        </w:rPr>
        <w:t xml:space="preserve">Lösungsblatt</w:t>
      </w:r>
      <w:r>
        <w:t xml:space="preserve"> bei den Unterlagen der Lehrperson; zeig sie erst, wenn die eigene Karte steht.</w:t>
      </w:r>
    </w:p>
    <w:p>
      <w:pPr>
        <w:spacing w:after="100" w:before="60" w:line="320"/>
      </w:pPr>
      <w:r>
        <w:rPr>
          <w:b/>
          <w:bCs/>
        </w:rPr>
        <w:t xml:space="preserve">S. 7 — Arbeitsfläche (40 Min.).</w:t>
      </w:r>
      <w:r>
        <w:t xml:space="preserve"> Mindestens acht Einträge, je Gut → Bedürfnis als Stichwort. Jeder Eintrag bekommt mit Farbe oder Symbol eine von drei Markierungen: echt · geweckt · geweckt, aber berechtigt. Bei geweckten steht der Einfluss aus LF3 dabei.</w:t>
      </w:r>
    </w:p>
    <w:p>
      <w:pPr>
        <w:spacing w:after="100" w:before="60" w:line="320"/>
      </w:pPr>
      <w:r>
        <w:rPr>
          <w:b/>
          <w:bCs/>
        </w:rPr>
        <w:t xml:space="preserve">S. 8 — Abschluss (15 Min.).</w:t>
      </w:r>
      <w:r>
        <w:t xml:space="preserve"> Oben steht das </w:t>
      </w:r>
      <w:r>
        <w:rPr>
          <w:b/>
          <w:bCs/>
        </w:rPr>
        <w:t xml:space="preserve">Begriffsnetz</w:t>
      </w:r>
      <w:r>
        <w:t xml:space="preserve">: Jeder Begriff des Hefts ist ein eigener Knoten um das Zentrum. Die Lernenden ziehen mindestens fünf Linien, beschriften jede mit dem Zusammenhang, führen eine davon zum Feld «gilt auch bei …» und tragen in die zwei leeren Knoten je einen Begriff aus ihrem Raster ein. Darunter erklärt das </w:t>
      </w:r>
      <w:r>
        <w:rPr>
          <w:b/>
          <w:bCs/>
        </w:rPr>
        <w:t xml:space="preserve">Glossar des Hefts</w:t>
      </w:r>
      <w:r>
        <w:t xml:space="preserve"> dieselben Begriffe, dazu die Begriffe aus der Quelle der Spur. Die drei Zeilen «Das nehme ich mit» — </w:t>
      </w:r>
      <w:r>
        <w:rPr>
          <w:i/>
          <w:iCs/>
        </w:rPr>
        <w:t xml:space="preserve">Mein Massstab · Mein Entscheid · Mir noch unklar</w:t>
      </w:r>
      <w:r>
        <w:t xml:space="preserve"> — fassen das Heft zusammen. Der gemeinsame Auftrag greift darauf zurück (Kasten «Das brauchen Sie aus Ihren Heften» auf A1); das Heft bleibt darum bei den Lernenden. Wann der Auftrag folgt, entscheidest du — das Heft nennt keinen Zeitpunkt.</w:t>
      </w:r>
    </w:p>
    <w:p>
      <w:pPr>
        <w:pStyle w:val="Heading3"/>
        <w:keepNext/>
        <w:spacing w:after="80" w:before="280"/>
      </w:pPr>
      <w:r>
        <w:rPr>
          <w:rFonts w:ascii="Source Serif 4" w:cs="Source Serif 4" w:eastAsia="Source Serif 4" w:hAnsi="Source Serif 4"/>
          <w:b/>
          <w:bCs/>
          <w:color w:val="1A1A1A"/>
          <w:sz w:val="26"/>
          <w:szCs w:val="26"/>
        </w:rPr>
        <w:t xml:space="preserve">Typische Stolpersteine</w:t>
      </w:r>
    </w:p>
    <w:tbl>
      <w:tblPr>
        <w:tblW w:type="pct" w:w="100%"/>
        <w:tblBorders>
          <w:top w:val="none" w:color="FFFFFF" w:sz="0"/>
          <w:left w:val="single" w:color="B8232B" w:sz="18"/>
          <w:bottom w:val="none" w:color="FFFFFF" w:sz="0"/>
          <w:right w:val="none" w:color="FFFFFF" w:sz="0"/>
          <w:insideH w:val="none" w:color="FFFFFF" w:sz="0"/>
          <w:insideV w:val="none" w:color="FFFFFF" w:sz="0"/>
        </w:tblBorders>
        <w:tblLayout w:type="fixed"/>
      </w:tblPr>
      <w:tblGrid>
        <w:gridCol w:w="100"/>
      </w:tblGrid>
      <w:tr>
        <w:tc>
          <w:tcPr>
            <w:shd w:fill="FAECE9"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B8232B"/>
                <w:spacing w:val="12"/>
                <w:sz w:val="18"/>
                <w:szCs w:val="18"/>
              </w:rPr>
              <w:t xml:space="preserve">WARNUNG  ·  GUT STATT BEDÜRFNIS</w:t>
            </w:r>
          </w:p>
          <w:p>
            <w:pPr>
              <w:spacing w:after="100" w:before="60" w:line="320"/>
            </w:pPr>
            <w:r>
              <w:t xml:space="preserve">Der häufigste Fehler in LF1 und LF2: Das Gut wird als Bedürfnis eingetragen («Bedürfnis: Handy»). Frag zurück: «Was fehlt dir, wenn du das Handy nicht hast?» Hinter einem Gut stehen oft mehrere Bedürfnisse — das ist ein gutes Zeichen, kein Fehler.</w:t>
            </w:r>
          </w:p>
        </w:tc>
      </w:tr>
    </w:tbl>
    <w:p>
      <w:pPr>
        <w:spacing w:after="0" w:before="0"/>
      </w:pPr>
      <w:r>
        <w:rPr>
          <w:sz w:val="8"/>
          <w:szCs w:val="8"/>
        </w:rPr>
        <w:t xml:space="preserve"/>
      </w:r>
    </w:p>
    <w:tbl>
      <w:tblPr>
        <w:tblW w:type="pct" w:w="100%"/>
        <w:tblBorders>
          <w:top w:val="none" w:color="FFFFFF" w:sz="0"/>
          <w:left w:val="single" w:color="B8232B" w:sz="18"/>
          <w:bottom w:val="none" w:color="FFFFFF" w:sz="0"/>
          <w:right w:val="none" w:color="FFFFFF" w:sz="0"/>
          <w:insideH w:val="none" w:color="FFFFFF" w:sz="0"/>
          <w:insideV w:val="none" w:color="FFFFFF" w:sz="0"/>
        </w:tblBorders>
        <w:tblLayout w:type="fixed"/>
      </w:tblPr>
      <w:tblGrid>
        <w:gridCol w:w="100"/>
      </w:tblGrid>
      <w:tr>
        <w:tc>
          <w:tcPr>
            <w:shd w:fill="FAECE9"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B8232B"/>
                <w:spacing w:val="12"/>
                <w:sz w:val="18"/>
                <w:szCs w:val="18"/>
              </w:rPr>
              <w:t xml:space="preserve">WARNUNG  ·  LEHRMITTEL UND EIGENE BEOBACHTUNG VERMISCHEN</w:t>
            </w:r>
          </w:p>
          <w:p>
            <w:pPr>
              <w:spacing w:after="100" w:before="60" w:line="320"/>
            </w:pPr>
            <w:r>
              <w:t xml:space="preserve">In LF3 stammen Klasse, Kollegen und Spontankauf aus der eigenen Beobachtung, nicht aus dem Lehrmittel bzw. dem Artikel. Beides ist erlaubt, aber im Raster muss erkennbar sein, was belegt und was beobachtet ist. Auch die Zuordnung zu einem LF1-Begriff ist eine begründete Deutung der Lernenden; mehrere Zuordnungen sind gültig.</w:t>
            </w:r>
          </w:p>
        </w:tc>
      </w:tr>
    </w:tbl>
    <w:p>
      <w:pPr>
        <w:spacing w:after="0" w:before="0"/>
      </w:pPr>
      <w:r>
        <w:rPr>
          <w:sz w:val="8"/>
          <w:szCs w:val="8"/>
        </w:rPr>
        <w:t xml:space="preserve"/>
      </w:r>
    </w:p>
    <w:tbl>
      <w:tblPr>
        <w:tblW w:type="pct" w:w="100%"/>
        <w:tblBorders>
          <w:top w:val="none" w:color="FFFFFF" w:sz="0"/>
          <w:left w:val="single" w:color="B8232B" w:sz="18"/>
          <w:bottom w:val="none" w:color="FFFFFF" w:sz="0"/>
          <w:right w:val="none" w:color="FFFFFF" w:sz="0"/>
          <w:insideH w:val="none" w:color="FFFFFF" w:sz="0"/>
          <w:insideV w:val="none" w:color="FFFFFF" w:sz="0"/>
        </w:tblBorders>
        <w:tblLayout w:type="fixed"/>
      </w:tblPr>
      <w:tblGrid>
        <w:gridCol w:w="100"/>
      </w:tblGrid>
      <w:tr>
        <w:tc>
          <w:tcPr>
            <w:shd w:fill="FAECE9"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B8232B"/>
                <w:spacing w:val="12"/>
                <w:sz w:val="18"/>
                <w:szCs w:val="18"/>
              </w:rPr>
              <w:t xml:space="preserve">WARNUNG  ·  PROZENTE ALS SCHWEIZER WERTE LESEN (SPUR MIT MEDIEN)</w:t>
            </w:r>
          </w:p>
          <w:p>
            <w:pPr>
              <w:spacing w:after="100" w:before="60" w:line="320"/>
            </w:pPr>
            <w:r>
              <w:t xml:space="preserve">Die Studie hinter der Quelle stammt aus Deutschland und befragte 10- bis 17-Jährige. Die Wege, über die Kaufwünsche entstehen, lassen sich übertragen, die Prozentzahlen nicht.</w:t>
            </w:r>
          </w:p>
        </w:tc>
      </w:tr>
    </w:tbl>
    <w:p>
      <w:pPr>
        <w:spacing w:after="0" w:before="0"/>
      </w:pPr>
      <w:r>
        <w:rPr>
          <w:sz w:val="8"/>
          <w:szCs w:val="8"/>
        </w:rPr>
        <w:t xml:space="preserve"/>
      </w:r>
    </w:p>
    <w:tbl>
      <w:tblPr>
        <w:tblW w:type="pct" w:w="100%"/>
        <w:tblBorders>
          <w:top w:val="none" w:color="FFFFFF" w:sz="0"/>
          <w:left w:val="single" w:color="B8232B" w:sz="18"/>
          <w:bottom w:val="none" w:color="FFFFFF" w:sz="0"/>
          <w:right w:val="none" w:color="FFFFFF" w:sz="0"/>
          <w:insideH w:val="none" w:color="FFFFFF" w:sz="0"/>
          <w:insideV w:val="none" w:color="FFFFFF" w:sz="0"/>
        </w:tblBorders>
        <w:tblLayout w:type="fixed"/>
      </w:tblPr>
      <w:tblGrid>
        <w:gridCol w:w="100"/>
      </w:tblGrid>
      <w:tr>
        <w:tc>
          <w:tcPr>
            <w:shd w:fill="FAECE9"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B8232B"/>
                <w:spacing w:val="12"/>
                <w:sz w:val="18"/>
                <w:szCs w:val="18"/>
              </w:rPr>
              <w:t xml:space="preserve">WARNUNG  ·  WERBUNG ERKANNT, UMFELD ÜBERSEHEN</w:t>
            </w:r>
          </w:p>
          <w:p>
            <w:pPr>
              <w:spacing w:after="100" w:before="60" w:line="320"/>
            </w:pPr>
            <w:r>
              <w:t xml:space="preserve">Lernende benennen Werbung schnell als Einfluss, blenden aber den Druck aus dem eigenen Umfeld aus — in dieser Situation ist er mindestens so wichtig (zwei aus der Klasse hatten dieselben Kopfhörer).</w:t>
            </w:r>
          </w:p>
        </w:tc>
      </w:tr>
    </w:tbl>
    <w:p>
      <w:pPr>
        <w:spacing w:after="0" w:before="0"/>
      </w:pPr>
      <w:r>
        <w:rPr>
          <w:sz w:val="8"/>
          <w:szCs w:val="8"/>
        </w:rPr>
        <w:t xml:space="preserve"/>
      </w:r>
    </w:p>
    <w:tbl>
      <w:tblPr>
        <w:tblW w:type="pct" w:w="100%"/>
        <w:tblBorders>
          <w:top w:val="none" w:color="FFFFFF" w:sz="0"/>
          <w:left w:val="single" w:color="C2611A" w:sz="18"/>
          <w:bottom w:val="none" w:color="FFFFFF" w:sz="0"/>
          <w:right w:val="none" w:color="FFFFFF" w:sz="0"/>
          <w:insideH w:val="none" w:color="FFFFFF" w:sz="0"/>
          <w:insideV w:val="none" w:color="FFFFFF" w:sz="0"/>
        </w:tblBorders>
        <w:tblLayout w:type="fixed"/>
      </w:tblPr>
      <w:tblGrid>
        <w:gridCol w:w="100"/>
      </w:tblGrid>
      <w:tr>
        <w:tc>
          <w:tcPr>
            <w:shd w:fill="FCE9D8"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C2611A"/>
                <w:spacing w:val="12"/>
                <w:sz w:val="18"/>
                <w:szCs w:val="18"/>
              </w:rPr>
              <w:t xml:space="preserve">WENN ES STOCKT  ·  HERAUSFORDERUNG A — «ICH BRAUCHE DAS DOCH WIRKLICH»</w:t>
            </w:r>
          </w:p>
          <w:p>
            <w:pPr>
              <w:spacing w:after="100" w:before="60" w:line="320"/>
            </w:pPr>
            <w:r>
              <w:t xml:space="preserve">Wenn eine Lernende jeden Wunsch als echtes Bedürfnis verteidigt: spiegeln statt erklären. «Was würde konkret passieren, wenn du diesen Kauf drei Wochen aufschiebst?» Die Antwort trennt das Bedürfnis von der geweckten Dringlichkeit.</w:t>
            </w:r>
          </w:p>
        </w:tc>
      </w:tr>
    </w:tbl>
    <w:p>
      <w:pPr>
        <w:spacing w:after="0" w:before="0"/>
      </w:pPr>
      <w:r>
        <w:rPr>
          <w:sz w:val="8"/>
          <w:szCs w:val="8"/>
        </w:rPr>
        <w:t xml:space="preserve"/>
      </w:r>
    </w:p>
    <w:tbl>
      <w:tblPr>
        <w:tblW w:type="pct" w:w="100%"/>
        <w:tblBorders>
          <w:top w:val="none" w:color="FFFFFF" w:sz="0"/>
          <w:left w:val="single" w:color="2F7373" w:sz="18"/>
          <w:bottom w:val="none" w:color="FFFFFF" w:sz="0"/>
          <w:right w:val="none" w:color="FFFFFF" w:sz="0"/>
          <w:insideH w:val="none" w:color="FFFFFF" w:sz="0"/>
          <w:insideV w:val="none" w:color="FFFFFF" w:sz="0"/>
        </w:tblBorders>
        <w:tblLayout w:type="fixed"/>
      </w:tblPr>
      <w:tblGrid>
        <w:gridCol w:w="100"/>
      </w:tblGrid>
      <w:tr>
        <w:tc>
          <w:tcPr>
            <w:shd w:fill="E6F1F1"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2F7373"/>
                <w:spacing w:val="12"/>
                <w:sz w:val="18"/>
                <w:szCs w:val="18"/>
              </w:rPr>
              <w:t xml:space="preserve">MEHRDEUTIGKEIT HALTEN  ·  HERAUSFORDERUNG A</w:t>
            </w:r>
          </w:p>
          <w:p>
            <w:pPr>
              <w:spacing w:after="100" w:before="60" w:line="320"/>
            </w:pPr>
            <w:r>
              <w:t xml:space="preserve">Leitsatz im Heft: «</w:t>
            </w:r>
            <w:r>
              <w:t xml:space="preserve"/>
            </w:r>
            <w:r>
              <w:t xml:space="preserve">Ein von aussen geweckter Wunsch kann ein echtes Bedürfnis treffen, etwa dazuzugehören. Entscheidend ist, ob Sie Ihren Entscheid vor sich begründen können.</w:t>
            </w:r>
            <w:r>
              <w:t xml:space="preserve"/>
            </w:r>
            <w:r>
              <w:t xml:space="preserve">»
Darum ist die Markierung «geweckt, aber berechtigt» kein Ausweg, sondern der Kern der Sache. Wenn jemand «alle haben es» als Begründung nennt, frag zurück: «Und was spricht aus deiner Sicht dafür oder dagegen?»</w:t>
            </w:r>
          </w:p>
        </w:tc>
      </w:tr>
    </w:tbl>
    <w:p>
      <w:pPr>
        <w:spacing w:after="0" w:before="0"/>
      </w:pPr>
      <w:r>
        <w:rPr>
          <w:sz w:val="8"/>
          <w:szCs w:val="8"/>
        </w:rPr>
        <w:t xml:space="preserve"/>
      </w:r>
    </w:p>
    <w:p>
      <w:pPr>
        <w:pStyle w:val="Heading3"/>
        <w:keepNext/>
        <w:spacing w:after="80" w:before="280"/>
      </w:pPr>
      <w:r>
        <w:rPr>
          <w:rFonts w:ascii="Source Serif 4" w:cs="Source Serif 4" w:eastAsia="Source Serif 4" w:hAnsi="Source Serif 4"/>
          <w:b/>
          <w:bCs/>
          <w:color w:val="1A1A1A"/>
          <w:sz w:val="26"/>
          <w:szCs w:val="26"/>
        </w:rPr>
        <w:t xml:space="preserve">Lösungen der Leitfragen</w:t>
      </w:r>
    </w:p>
    <w:p>
      <w:pPr>
        <w:spacing w:after="100" w:before="60" w:line="320"/>
      </w:pPr>
      <w:r>
        <w:t xml:space="preserve">Der Massstab für die Beurteilung, nicht ein Skript zum Vorlesen: Formulierungen der Lernenden dürfen abweichen, solange Quelle und eigene Verdichtung erkennbar sind. LF1 und LF2 gelten in beiden Spuren; LF3 und LF4 stehen je Spur, weil dort Quelle und Pol-Typ wechseln. Zu LF4 gibt es keine Musterantwort, sondern einen Erwartungshorizont mit zwei vertretbaren Entscheiden.</w:t>
      </w:r>
    </w:p>
    <w:p>
      <w:pPr>
        <w:pStyle w:val="Heading4"/>
        <w:keepNext/>
        <w:spacing w:after="60" w:before="200"/>
      </w:pPr>
      <w:r>
        <w:rPr>
          <w:rFonts w:ascii="Source Sans 3" w:cs="Source Sans 3" w:eastAsia="Source Sans 3" w:hAnsi="Source Sans 3"/>
          <w:b/>
          <w:bCs/>
          <w:caps/>
          <w:color w:val="4A4A4A"/>
          <w:sz w:val="20"/>
          <w:szCs w:val="20"/>
        </w:rPr>
        <w:t xml:space="preserve">Kern — gilt in beiden Spuren</w:t>
      </w:r>
    </w:p>
    <w:tbl>
      <w:tblPr>
        <w:tblW w:type="pct" w:w="100%"/>
        <w:tblBorders>
          <w:top w:val="none" w:color="FFFFFF" w:sz="0"/>
          <w:left w:val="single" w:color="A12061" w:sz="18"/>
          <w:bottom w:val="none" w:color="FFFFFF" w:sz="0"/>
          <w:right w:val="none" w:color="FFFFFF" w:sz="0"/>
          <w:insideH w:val="none" w:color="FFFFFF" w:sz="0"/>
          <w:insideV w:val="none" w:color="FFFFFF" w:sz="0"/>
        </w:tblBorders>
        <w:tblLayout w:type="fixed"/>
      </w:tblPr>
      <w:tblGrid>
        <w:gridCol w:w="100"/>
      </w:tblGrid>
      <w:tr>
        <w:tc>
          <w:tcPr>
            <w:shd w:fill="FBE7F1"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A12061"/>
                <w:spacing w:val="12"/>
                <w:sz w:val="18"/>
                <w:szCs w:val="18"/>
              </w:rPr>
              <w:t xml:space="preserve">LÖSUNG DER LEITFRAGE  ·  LF 1 · VERSTEHEN — BEDÜRFNISARTEN, MASLOW, BEDÜRFNIS VS. GUT</w:t>
            </w:r>
          </w:p>
          <w:p>
            <w:pPr>
              <w:pStyle w:val="ListParagraph"/>
              <w:numPr>
                <w:ilvl w:val="0"/>
                <w:numId w:val="2"/>
              </w:numPr>
              <w:spacing w:after="30" w:before="30" w:line="300"/>
              <w:ind w:left="280" w:hanging="280"/>
            </w:pPr>
            <w:r>
              <w:rPr>
                <w:b/>
                <w:bCs/>
              </w:rPr>
              <w:t xml:space="preserve">Bedürfnis:</w:t>
            </w:r>
            <w:r>
              <w:t xml:space="preserve"> Verlangen, einen Mangel zu beheben; praktisch unbegrenzt. </w:t>
            </w:r>
            <w:r>
              <w:rPr>
                <w:i/>
                <w:iCs/>
              </w:rPr>
              <w:t xml:space="preserve">(Kap. 2.7, S. 73)</w:t>
            </w:r>
          </w:p>
          <w:p>
            <w:pPr>
              <w:pStyle w:val="ListParagraph"/>
              <w:numPr>
                <w:ilvl w:val="0"/>
                <w:numId w:val="2"/>
              </w:numPr>
              <w:spacing w:after="30" w:before="30" w:line="300"/>
              <w:ind w:left="280" w:hanging="280"/>
            </w:pPr>
            <w:r>
              <w:rPr>
                <w:b/>
                <w:bCs/>
              </w:rPr>
              <w:t xml:space="preserve">Existenzbedürfnis:</w:t>
            </w:r>
            <w:r>
              <w:t xml:space="preserve"> Lebensnotwendig: Nahrung, Wohnung, Kleidung, medizinische Versorgung. </w:t>
            </w:r>
            <w:r>
              <w:rPr>
                <w:i/>
                <w:iCs/>
              </w:rPr>
              <w:t xml:space="preserve">(Kap. 2.7, S. 74)</w:t>
            </w:r>
          </w:p>
          <w:p>
            <w:pPr>
              <w:pStyle w:val="ListParagraph"/>
              <w:numPr>
                <w:ilvl w:val="0"/>
                <w:numId w:val="2"/>
              </w:numPr>
              <w:spacing w:after="30" w:before="30" w:line="300"/>
              <w:ind w:left="280" w:hanging="280"/>
            </w:pPr>
            <w:r>
              <w:rPr>
                <w:b/>
                <w:bCs/>
              </w:rPr>
              <w:t xml:space="preserve">Wahlbedürfnis:</w:t>
            </w:r>
            <w:r>
              <w:t xml:space="preserve"> Nicht lebensnotwendig; gewählt wird erst, wenn die Existenz gesichert ist: Heimelektronik, Bücher, Ferien. </w:t>
            </w:r>
            <w:r>
              <w:rPr>
                <w:i/>
                <w:iCs/>
              </w:rPr>
              <w:t xml:space="preserve">(Kap. 2.7, S. 74)</w:t>
            </w:r>
          </w:p>
          <w:p>
            <w:pPr>
              <w:pStyle w:val="ListParagraph"/>
              <w:numPr>
                <w:ilvl w:val="0"/>
                <w:numId w:val="2"/>
              </w:numPr>
              <w:spacing w:after="30" w:before="30" w:line="300"/>
              <w:ind w:left="280" w:hanging="280"/>
            </w:pPr>
            <w:r>
              <w:rPr>
                <w:b/>
                <w:bCs/>
              </w:rPr>
              <w:t xml:space="preserve">Maslow:</w:t>
            </w:r>
            <w:r>
              <w:t xml:space="preserve"> Fünf Stufen, nach oben immer weniger überlebenswichtig: 1 Lebenswichtiges, 2 Sicherheit, 3 Dazugehörigkeit, 4 Anerkennung, 5 Selbstverwirklichung. </w:t>
            </w:r>
            <w:r>
              <w:rPr>
                <w:i/>
                <w:iCs/>
              </w:rPr>
              <w:t xml:space="preserve">(Kap. 2.7, S. 73)</w:t>
            </w:r>
          </w:p>
          <w:p>
            <w:pPr>
              <w:pStyle w:val="ListParagraph"/>
              <w:numPr>
                <w:ilvl w:val="0"/>
                <w:numId w:val="2"/>
              </w:numPr>
              <w:spacing w:after="30" w:before="30" w:line="300"/>
              <w:ind w:left="280" w:hanging="280"/>
            </w:pPr>
            <w:r>
              <w:rPr>
                <w:b/>
                <w:bCs/>
              </w:rPr>
              <w:t xml:space="preserve">Bedürfnis ≠ Gut:</w:t>
            </w:r>
            <w:r>
              <w:t xml:space="preserve"> Bedürfnisse werden mit Gütern befriedigt. Am Fall: Die Kopfhörer sind ein Gut, dahinter stehen Unterhaltung und Dazugehörigkeit. Häufiger Fehler: Güter als Bedürfnisse eintragen. </w:t>
            </w:r>
            <w:r>
              <w:rPr>
                <w:i/>
                <w:iCs/>
              </w:rPr>
              <w:t xml:space="preserve">(Kap. 2.7, S. 75)</w:t>
            </w:r>
          </w:p>
        </w:tc>
      </w:tr>
    </w:tbl>
    <w:p>
      <w:pPr>
        <w:spacing w:after="0" w:before="0"/>
      </w:pPr>
      <w:r>
        <w:rPr>
          <w:sz w:val="8"/>
          <w:szCs w:val="8"/>
        </w:rPr>
        <w:t xml:space="preserve"/>
      </w:r>
    </w:p>
    <w:tbl>
      <w:tblPr>
        <w:tblW w:type="pct" w:w="100%"/>
        <w:tblBorders>
          <w:top w:val="none" w:color="FFFFFF" w:sz="0"/>
          <w:left w:val="single" w:color="A12061" w:sz="18"/>
          <w:bottom w:val="none" w:color="FFFFFF" w:sz="0"/>
          <w:right w:val="none" w:color="FFFFFF" w:sz="0"/>
          <w:insideH w:val="none" w:color="FFFFFF" w:sz="0"/>
          <w:insideV w:val="none" w:color="FFFFFF" w:sz="0"/>
        </w:tblBorders>
        <w:tblLayout w:type="fixed"/>
      </w:tblPr>
      <w:tblGrid>
        <w:gridCol w:w="100"/>
      </w:tblGrid>
      <w:tr>
        <w:tc>
          <w:tcPr>
            <w:shd w:fill="FBE7F1"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A12061"/>
                <w:spacing w:val="12"/>
                <w:sz w:val="18"/>
                <w:szCs w:val="18"/>
              </w:rPr>
              <w:t xml:space="preserve">LÖSUNG DER LEITFRAGE  ·  LF 2 · ANWENDEN — GUT → BEDÜRFNIS → ART, AM EIGENEN BEISPIEL</w:t>
            </w:r>
          </w:p>
          <w:p>
            <w:pPr>
              <w:pStyle w:val="ListParagraph"/>
              <w:numPr>
                <w:ilvl w:val="0"/>
                <w:numId w:val="2"/>
              </w:numPr>
              <w:spacing w:after="30" w:before="30" w:line="300"/>
              <w:ind w:left="280" w:hanging="280"/>
            </w:pPr>
            <w:r>
              <w:rPr>
                <w:b/>
                <w:bCs/>
              </w:rPr>
              <w:t xml:space="preserve">Erwartet:</w:t>
            </w:r>
            <w:r>
              <w:t xml:space="preserve"> Fünf Einträge im Dreischritt Gut → Bedürfnis → Art, z. B. Kopfhörer → Unterhaltung, Dazugehörigkeit → Wahlbedürfnis.</w:t>
            </w:r>
          </w:p>
          <w:p>
            <w:pPr>
              <w:pStyle w:val="ListParagraph"/>
              <w:numPr>
                <w:ilvl w:val="0"/>
                <w:numId w:val="2"/>
              </w:numPr>
              <w:spacing w:after="30" w:before="30" w:line="300"/>
              <w:ind w:left="280" w:hanging="280"/>
            </w:pPr>
            <w:r>
              <w:rPr>
                <w:b/>
                <w:bCs/>
              </w:rPr>
              <w:t xml:space="preserve">Gutes Zeichen:</w:t>
            </w:r>
            <w:r>
              <w:t xml:space="preserve"> Hinter einem Gut werden mehrere Bedürfnisse erkannt (Handy: Kommunikation, Sicherheit, Anerkennung).</w:t>
            </w:r>
          </w:p>
          <w:p>
            <w:pPr>
              <w:pStyle w:val="ListParagraph"/>
              <w:numPr>
                <w:ilvl w:val="0"/>
                <w:numId w:val="2"/>
              </w:numPr>
              <w:spacing w:after="30" w:before="30" w:line="300"/>
              <w:ind w:left="280" w:hanging="280"/>
            </w:pPr>
            <w:r>
              <w:rPr>
                <w:b/>
                <w:bCs/>
              </w:rPr>
              <w:t xml:space="preserve">Häufiger Fehler:</w:t>
            </w:r>
            <w:r>
              <w:t xml:space="preserve"> Das Gut wird als Bedürfnis eingetragen («Bedürfnis: Handy»).</w:t>
            </w:r>
          </w:p>
        </w:tc>
      </w:tr>
    </w:tbl>
    <w:p>
      <w:pPr>
        <w:spacing w:after="0" w:before="0"/>
      </w:pPr>
      <w:r>
        <w:rPr>
          <w:sz w:val="8"/>
          <w:szCs w:val="8"/>
        </w:rPr>
        <w:t xml:space="preserve"/>
      </w:r>
    </w:p>
    <w:p>
      <w:pPr>
        <w:pStyle w:val="Heading4"/>
        <w:keepNext/>
        <w:spacing w:after="60" w:before="200"/>
      </w:pPr>
      <w:r>
        <w:rPr>
          <w:rFonts w:ascii="Source Sans 3" w:cs="Source Sans 3" w:eastAsia="Source Sans 3" w:hAnsi="Source Sans 3"/>
          <w:b/>
          <w:bCs/>
          <w:caps/>
          <w:color w:val="4A4A4A"/>
          <w:sz w:val="20"/>
          <w:szCs w:val="20"/>
        </w:rPr>
        <w:t xml:space="preserve">Spur ohne Medien</w:t>
      </w:r>
    </w:p>
    <w:tbl>
      <w:tblPr>
        <w:tblW w:type="pct" w:w="100%"/>
        <w:tblBorders>
          <w:top w:val="none" w:color="FFFFFF" w:sz="0"/>
          <w:left w:val="single" w:color="A12061" w:sz="18"/>
          <w:bottom w:val="none" w:color="FFFFFF" w:sz="0"/>
          <w:right w:val="none" w:color="FFFFFF" w:sz="0"/>
          <w:insideH w:val="none" w:color="FFFFFF" w:sz="0"/>
          <w:insideV w:val="none" w:color="FFFFFF" w:sz="0"/>
        </w:tblBorders>
        <w:tblLayout w:type="fixed"/>
      </w:tblPr>
      <w:tblGrid>
        <w:gridCol w:w="100"/>
      </w:tblGrid>
      <w:tr>
        <w:tc>
          <w:tcPr>
            <w:shd w:fill="FBE7F1"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A12061"/>
                <w:spacing w:val="12"/>
                <w:sz w:val="18"/>
                <w:szCs w:val="18"/>
              </w:rPr>
              <w:t xml:space="preserve">LÖSUNG DER LEITFRAGE  ·  LF 3 · ANALYSIEREN — EINFLÜSSE AUF KAUFWÜNSCHE, AM EIGENEN KAUF GEZEIGT</w:t>
            </w:r>
          </w:p>
          <w:p>
            <w:pPr>
              <w:pStyle w:val="ListParagraph"/>
              <w:numPr>
                <w:ilvl w:val="0"/>
                <w:numId w:val="2"/>
              </w:numPr>
              <w:spacing w:after="30" w:before="30" w:line="300"/>
              <w:ind w:left="280" w:hanging="280"/>
            </w:pPr>
            <w:r>
              <w:rPr>
                <w:b/>
                <w:bCs/>
              </w:rPr>
              <w:t xml:space="preserve">Erwartet:</w:t>
            </w:r>
            <w:r>
              <w:t xml:space="preserve"> Vier Einflüsse mit Seite: Werbung weckt neue Bedürfnisse (S. 73); das begrenzte Einkommen zwingt zur Auswahl (S. 74); mehr verfügbares Geld dehnt die Nachfrage aus (S. 76); ein Trendprodukt steigert die Nachfrage (S. 77). </w:t>
            </w:r>
            <w:r>
              <w:rPr>
                <w:i/>
                <w:iCs/>
              </w:rPr>
              <w:t xml:space="preserve">(Kap. 2.7)</w:t>
            </w:r>
          </w:p>
          <w:p>
            <w:pPr>
              <w:pStyle w:val="ListParagraph"/>
              <w:numPr>
                <w:ilvl w:val="0"/>
                <w:numId w:val="2"/>
              </w:numPr>
              <w:spacing w:after="30" w:before="30" w:line="300"/>
              <w:ind w:left="280" w:hanging="280"/>
            </w:pPr>
            <w:r>
              <w:rPr>
                <w:b/>
                <w:bCs/>
              </w:rPr>
              <w:t xml:space="preserve">Auch gültig:</w:t>
            </w:r>
            <w:r>
              <w:t xml:space="preserve"> Ein tieferer Preis erhöht die nachgefragte Menge (S. 74); weniger Einkommen in einer Wirtschaftskrise senkt die Nachfrage (S. 77). </w:t>
            </w:r>
            <w:r>
              <w:rPr>
                <w:i/>
                <w:iCs/>
              </w:rPr>
              <w:t xml:space="preserve">(Kap. 2.7)</w:t>
            </w:r>
          </w:p>
          <w:p>
            <w:pPr>
              <w:pStyle w:val="ListParagraph"/>
              <w:numPr>
                <w:ilvl w:val="0"/>
                <w:numId w:val="2"/>
              </w:numPr>
              <w:spacing w:after="30" w:before="30" w:line="300"/>
              <w:ind w:left="280" w:hanging="280"/>
            </w:pPr>
            <w:r>
              <w:rPr>
                <w:b/>
                <w:bCs/>
              </w:rPr>
              <w:t xml:space="preserve">Begriffe:</w:t>
            </w:r>
            <w:r>
              <w:t xml:space="preserve"> Die Zuordnung zu einem LF1-Begriff (Wahlbedürfnis, Maslow-Stufe) steht nicht im Lehrmittel; sie ist eine begründete Deutung der Lernenden. Mehrere Zuordnungen gelten, z. B. Trendprodukt → Dazugehörigkeit oder Anerkennung.</w:t>
            </w:r>
          </w:p>
          <w:p>
            <w:pPr>
              <w:pStyle w:val="ListParagraph"/>
              <w:numPr>
                <w:ilvl w:val="0"/>
                <w:numId w:val="2"/>
              </w:numPr>
              <w:spacing w:after="30" w:before="30" w:line="300"/>
              <w:ind w:left="280" w:hanging="280"/>
            </w:pPr>
            <w:r>
              <w:rPr>
                <w:b/>
                <w:bCs/>
              </w:rPr>
              <w:t xml:space="preserve">Befund:</w:t>
            </w:r>
            <w:r>
              <w:t xml:space="preserve"> Verbindet mindestens einen Einfluss aus dem Lehrmittel mit dem eigenen Kopfhörer-Kauf, z. B. Werbung (S. 73) oder Trendprodukt (S. 77). Klasse, Kollegen und Spontankauf sind eigene Beobachtungen der Lernenden, nicht aus dem Lehrmittel.</w:t>
            </w:r>
          </w:p>
          <w:p>
            <w:pPr>
              <w:pStyle w:val="ListParagraph"/>
              <w:numPr>
                <w:ilvl w:val="0"/>
                <w:numId w:val="2"/>
              </w:numPr>
              <w:spacing w:after="30" w:before="30" w:line="300"/>
              <w:ind w:left="280" w:hanging="280"/>
            </w:pPr>
            <w:r>
              <w:rPr>
                <w:b/>
                <w:bCs/>
              </w:rPr>
              <w:t xml:space="preserve">Stand:</w:t>
            </w:r>
            <w:r>
              <w:t xml:space="preserve"> Kap. 2.7 | S. 73-77, geprüft am 01.10.2026</w:t>
            </w:r>
          </w:p>
        </w:tc>
      </w:tr>
    </w:tbl>
    <w:p>
      <w:pPr>
        <w:spacing w:after="0" w:before="0"/>
      </w:pPr>
      <w:r>
        <w:rPr>
          <w:sz w:val="8"/>
          <w:szCs w:val="8"/>
        </w:rPr>
        <w:t xml:space="preserve"/>
      </w:r>
    </w:p>
    <w:tbl>
      <w:tblPr>
        <w:tblW w:type="pct" w:w="100%"/>
        <w:tblBorders>
          <w:top w:val="none" w:color="FFFFFF" w:sz="0"/>
          <w:left w:val="single" w:color="A12061" w:sz="18"/>
          <w:bottom w:val="none" w:color="FFFFFF" w:sz="0"/>
          <w:right w:val="none" w:color="FFFFFF" w:sz="0"/>
          <w:insideH w:val="none" w:color="FFFFFF" w:sz="0"/>
          <w:insideV w:val="none" w:color="FFFFFF" w:sz="0"/>
        </w:tblBorders>
        <w:tblLayout w:type="fixed"/>
      </w:tblPr>
      <w:tblGrid>
        <w:gridCol w:w="100"/>
      </w:tblGrid>
      <w:tr>
        <w:tc>
          <w:tcPr>
            <w:shd w:fill="FBE7F1"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A12061"/>
                <w:spacing w:val="12"/>
                <w:sz w:val="18"/>
                <w:szCs w:val="18"/>
              </w:rPr>
              <w:t xml:space="preserve">LÖSUNG DER LEITFRAGE  ·  LF 4 · BEURTEILEN — ERWARTUNGSHORIZONT: MODELL ↔ EIGENER FALL, ENTSCHEID</w:t>
            </w:r>
          </w:p>
          <w:p>
            <w:pPr>
              <w:pStyle w:val="ListParagraph"/>
              <w:numPr>
                <w:ilvl w:val="0"/>
                <w:numId w:val="2"/>
              </w:numPr>
              <w:spacing w:after="30" w:before="30" w:line="300"/>
              <w:ind w:left="280" w:hanging="280"/>
            </w:pPr>
            <w:r>
              <w:rPr>
                <w:b/>
                <w:bCs/>
              </w:rPr>
              <w:t xml:space="preserve">Gut, wenn:</w:t>
            </w:r>
            <w:r>
              <w:t xml:space="preserve"> Das Modell wird korrekt angewendet (Stufe benannt).</w:t>
            </w:r>
          </w:p>
          <w:p>
            <w:pPr>
              <w:pStyle w:val="ListParagraph"/>
              <w:numPr>
                <w:ilvl w:val="0"/>
                <w:numId w:val="2"/>
              </w:numPr>
              <w:spacing w:after="30" w:before="30" w:line="300"/>
              <w:ind w:left="280" w:hanging="280"/>
            </w:pPr>
            <w:r>
              <w:rPr>
                <w:b/>
                <w:bCs/>
              </w:rPr>
              <w:t xml:space="preserve">Gut, wenn:</w:t>
            </w:r>
            <w:r>
              <w:t xml:space="preserve"> Eine Grenze des Modells für den eigenen Fall wird gezeigt (z. B. ein Gut trifft mehrere Stufen).</w:t>
            </w:r>
          </w:p>
          <w:p>
            <w:pPr>
              <w:pStyle w:val="ListParagraph"/>
              <w:numPr>
                <w:ilvl w:val="0"/>
                <w:numId w:val="2"/>
              </w:numPr>
              <w:spacing w:after="30" w:before="30" w:line="300"/>
              <w:ind w:left="280" w:hanging="280"/>
            </w:pPr>
            <w:r>
              <w:rPr>
                <w:b/>
                <w:bCs/>
              </w:rPr>
              <w:t xml:space="preserve">Gut, wenn:</w:t>
            </w:r>
            <w:r>
              <w:t xml:space="preserve"> Der Massstab ist überprüfbar und der Entscheid folgt daraus.</w:t>
            </w:r>
          </w:p>
          <w:p>
            <w:pPr>
              <w:pStyle w:val="ListParagraph"/>
              <w:numPr>
                <w:ilvl w:val="0"/>
                <w:numId w:val="2"/>
              </w:numPr>
              <w:spacing w:after="30" w:before="30" w:line="300"/>
              <w:ind w:left="280" w:hanging="280"/>
            </w:pPr>
            <w:r>
              <w:rPr>
                <w:b/>
                <w:bCs/>
              </w:rPr>
              <w:t xml:space="preserve">Beispiel, Pol 1:</w:t>
            </w:r>
            <w:r>
              <w:t xml:space="preserve"> Absage: «Das Handy trifft bei mir vor allem Anerkennung (Stufe 4), ein wenig auch Dazugehörigkeit — so sauber wie im Modell lassen sich die Stufen nicht trennen. Kommunikation deckt mein altes ab. Der Wunsch ist stark, aber das Geld fehlt mir schon seit den Kopfhörern. Mein Massstab: Ich kaufe nur, wenn ich den Wunsch zwei Wochen später noch habe.»</w:t>
            </w:r>
          </w:p>
          <w:p>
            <w:pPr>
              <w:pStyle w:val="ListParagraph"/>
              <w:numPr>
                <w:ilvl w:val="0"/>
                <w:numId w:val="2"/>
              </w:numPr>
              <w:spacing w:after="30" w:before="30" w:line="300"/>
              <w:ind w:left="280" w:hanging="280"/>
            </w:pPr>
            <w:r>
              <w:rPr>
                <w:b/>
                <w:bCs/>
              </w:rPr>
              <w:t xml:space="preserve">Beispiel, Pol 2:</w:t>
            </w:r>
            <w:r>
              <w:t xml:space="preserve"> Zusage (wenn das eigene Handy ersetzt werden muss): «Maslow trennt die Stufen sauber, bei mir mischen sie sich: Ich brauche ein Handy, das zuverlässig läuft (Sicherheit), und ich will dazugehören (Dazugehörigkeit). 300 Franken sind viel bei meinem Lohn, darum lege ich sie zuerst zur Seite. Mein Massstab: Ich kaufe, wenn ein Sicherheitsbedürfnis dahintersteht und der Preis ins Budget passt.»</w:t>
            </w:r>
          </w:p>
          <w:p>
            <w:pPr>
              <w:pStyle w:val="ListParagraph"/>
              <w:numPr>
                <w:ilvl w:val="0"/>
                <w:numId w:val="2"/>
              </w:numPr>
              <w:spacing w:after="30" w:before="30" w:line="300"/>
              <w:ind w:left="280" w:hanging="280"/>
            </w:pPr>
            <w:r>
              <w:rPr>
                <w:b/>
                <w:bCs/>
              </w:rPr>
              <w:t xml:space="preserve">Nicht tragfähig:</w:t>
            </w:r>
            <w:r>
              <w:t xml:space="preserve"> Entscheid ohne Massstab oder Modell ohne Bezug zum eigenen Fall.</w:t>
            </w:r>
          </w:p>
        </w:tc>
      </w:tr>
    </w:tbl>
    <w:p>
      <w:pPr>
        <w:spacing w:after="0" w:before="0"/>
      </w:pPr>
      <w:r>
        <w:rPr>
          <w:sz w:val="8"/>
          <w:szCs w:val="8"/>
        </w:rPr>
        <w:t xml:space="preserve"/>
      </w:r>
    </w:p>
    <w:p>
      <w:pPr>
        <w:pStyle w:val="Heading4"/>
        <w:keepNext/>
        <w:spacing w:after="60" w:before="200"/>
      </w:pPr>
      <w:r>
        <w:rPr>
          <w:rFonts w:ascii="Source Sans 3" w:cs="Source Sans 3" w:eastAsia="Source Sans 3" w:hAnsi="Source Sans 3"/>
          <w:b/>
          <w:bCs/>
          <w:caps/>
          <w:color w:val="4A4A4A"/>
          <w:sz w:val="20"/>
          <w:szCs w:val="20"/>
        </w:rPr>
        <w:t xml:space="preserve">Spur mit Medien</w:t>
      </w:r>
    </w:p>
    <w:tbl>
      <w:tblPr>
        <w:tblW w:type="pct" w:w="100%"/>
        <w:tblBorders>
          <w:top w:val="none" w:color="FFFFFF" w:sz="0"/>
          <w:left w:val="single" w:color="A12061" w:sz="18"/>
          <w:bottom w:val="none" w:color="FFFFFF" w:sz="0"/>
          <w:right w:val="none" w:color="FFFFFF" w:sz="0"/>
          <w:insideH w:val="none" w:color="FFFFFF" w:sz="0"/>
          <w:insideV w:val="none" w:color="FFFFFF" w:sz="0"/>
        </w:tblBorders>
        <w:tblLayout w:type="fixed"/>
      </w:tblPr>
      <w:tblGrid>
        <w:gridCol w:w="100"/>
      </w:tblGrid>
      <w:tr>
        <w:tc>
          <w:tcPr>
            <w:shd w:fill="FBE7F1"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A12061"/>
                <w:spacing w:val="12"/>
                <w:sz w:val="18"/>
                <w:szCs w:val="18"/>
              </w:rPr>
              <w:t xml:space="preserve">LÖSUNG DER LEITFRAGE  ·  LF 3 · ANALYSIEREN — WEGE ZU KAUFWÜNSCHEN, AM EIGENEN KAUF GEZEIGT</w:t>
            </w:r>
          </w:p>
          <w:p>
            <w:pPr>
              <w:pStyle w:val="ListParagraph"/>
              <w:numPr>
                <w:ilvl w:val="0"/>
                <w:numId w:val="2"/>
              </w:numPr>
              <w:spacing w:after="30" w:before="30" w:line="300"/>
              <w:ind w:left="280" w:hanging="280"/>
            </w:pPr>
            <w:r>
              <w:rPr>
                <w:b/>
                <w:bCs/>
              </w:rPr>
              <w:t xml:space="preserve">Erwartet:</w:t>
            </w:r>
            <w:r>
              <w:t xml:space="preserve"> Social-Media-Werbung (Abs. 2: 47 %); Influencer-Empfehlungen (Abs. 2: 40 %); Algorithmen wecken Wünsche, Impulse (Abs. 4); Billigplattformen: tiefe Preise, Glücksspielelemente (Abs. 6). </w:t>
            </w:r>
            <w:r>
              <w:rPr>
                <w:i/>
                <w:iCs/>
              </w:rPr>
              <w:t xml:space="preserve">(Quelle, Abs. 2–6)</w:t>
            </w:r>
          </w:p>
          <w:p>
            <w:pPr>
              <w:pStyle w:val="ListParagraph"/>
              <w:numPr>
                <w:ilvl w:val="0"/>
                <w:numId w:val="2"/>
              </w:numPr>
              <w:spacing w:after="30" w:before="30" w:line="300"/>
              <w:ind w:left="280" w:hanging="280"/>
            </w:pPr>
            <w:r>
              <w:rPr>
                <w:b/>
                <w:bCs/>
              </w:rPr>
              <w:t xml:space="preserve">Auch gültig:</w:t>
            </w:r>
            <w:r>
              <w:t xml:space="preserve"> Kauf per Klick (Abs. 1); fast vier von zehn stöbern wöchentlich in Shops (Abs. 5); Trendprodukte, Elektronik 43,6 % (Abs. 7). </w:t>
            </w:r>
            <w:r>
              <w:rPr>
                <w:i/>
                <w:iCs/>
              </w:rPr>
              <w:t xml:space="preserve">(Quelle, Abs. 1, 5, 7)</w:t>
            </w:r>
          </w:p>
          <w:p>
            <w:pPr>
              <w:pStyle w:val="ListParagraph"/>
              <w:numPr>
                <w:ilvl w:val="0"/>
                <w:numId w:val="2"/>
              </w:numPr>
              <w:spacing w:after="30" w:before="30" w:line="300"/>
              <w:ind w:left="280" w:hanging="280"/>
            </w:pPr>
            <w:r>
              <w:rPr>
                <w:b/>
                <w:bCs/>
              </w:rPr>
              <w:t xml:space="preserve">Begriffe:</w:t>
            </w:r>
            <w:r>
              <w:t xml:space="preserve"> Deutung der Lernenden, mehrere gelten: Influencer → Dazugehörigkeit, Anerkennung; Werbung, tiefer Preis → Wahlbedürfnis; Impuls → Bedürfnis ≠ Gut.</w:t>
            </w:r>
          </w:p>
          <w:p>
            <w:pPr>
              <w:pStyle w:val="ListParagraph"/>
              <w:numPr>
                <w:ilvl w:val="0"/>
                <w:numId w:val="2"/>
              </w:numPr>
              <w:spacing w:after="30" w:before="30" w:line="300"/>
              <w:ind w:left="280" w:hanging="280"/>
            </w:pPr>
            <w:r>
              <w:rPr>
                <w:b/>
                <w:bCs/>
              </w:rPr>
              <w:t xml:space="preserve">Befund:</w:t>
            </w:r>
            <w:r>
              <w:t xml:space="preserve"> Mind. ein Weg am Kopfhörer-Kauf, z. B. Feed-Werbung, Algorithmus (Abs. 2, 4), Trendprodukt (Abs. 7). Klasse, Kollegen: eigene Beobachtung, nicht im Artikel.</w:t>
            </w:r>
          </w:p>
          <w:p>
            <w:pPr>
              <w:pStyle w:val="ListParagraph"/>
              <w:numPr>
                <w:ilvl w:val="0"/>
                <w:numId w:val="2"/>
              </w:numPr>
              <w:spacing w:after="30" w:before="30" w:line="300"/>
              <w:ind w:left="280" w:hanging="280"/>
            </w:pPr>
            <w:r>
              <w:rPr>
                <w:b/>
                <w:bCs/>
              </w:rPr>
              <w:t xml:space="preserve">Mit Ersatzquelle:</w:t>
            </w:r>
            <w:r>
              <w:t xml:space="preserve"> Getarnte Werbung (Abs. 6); Hauls fördern Spontankäufe (Abs. 7); Dupes über Billigplattformen (Abs. 8); Gefühle: Angst, etwas zu verpassen, Nähe (Abs. 9–10). </w:t>
            </w:r>
            <w:r>
              <w:rPr>
                <w:i/>
                <w:iCs/>
              </w:rPr>
              <w:t xml:space="preserve">(Ersatzquelle, Abs. 6–10)</w:t>
            </w:r>
          </w:p>
          <w:p>
            <w:pPr>
              <w:pStyle w:val="ListParagraph"/>
              <w:numPr>
                <w:ilvl w:val="0"/>
                <w:numId w:val="2"/>
              </w:numPr>
              <w:spacing w:after="30" w:before="30" w:line="300"/>
              <w:ind w:left="280" w:hanging="280"/>
            </w:pPr>
            <w:r>
              <w:rPr>
                <w:b/>
                <w:bCs/>
              </w:rPr>
              <w:t xml:space="preserve">Hinweis:</w:t>
            </w:r>
            <w:r>
              <w:t xml:space="preserve"> Studie aus Deutschland, 10- bis 17-Jährige: Lehrperson ordnet Wege als übertragbar ein, Prozente nicht als Schweizer Werte. </w:t>
            </w:r>
            <w:r>
              <w:rPr>
                <w:i/>
                <w:iCs/>
              </w:rPr>
              <w:t xml:space="preserve">(Quelle, Abs. 2, 8)</w:t>
            </w:r>
          </w:p>
          <w:p>
            <w:pPr>
              <w:pStyle w:val="ListParagraph"/>
              <w:numPr>
                <w:ilvl w:val="0"/>
                <w:numId w:val="2"/>
              </w:numPr>
              <w:spacing w:after="30" w:before="30" w:line="300"/>
              <w:ind w:left="280" w:hanging="280"/>
            </w:pPr>
            <w:r>
              <w:rPr>
                <w:b/>
                <w:bCs/>
              </w:rPr>
              <w:t xml:space="preserve">Stand:</w:t>
            </w:r>
            <w:r>
              <w:t xml:space="preserve"> q-131a-pflicht, geprüft am 01.10.2026</w:t>
            </w:r>
          </w:p>
        </w:tc>
      </w:tr>
    </w:tbl>
    <w:p>
      <w:pPr>
        <w:spacing w:after="0" w:before="0"/>
      </w:pPr>
      <w:r>
        <w:rPr>
          <w:sz w:val="8"/>
          <w:szCs w:val="8"/>
        </w:rPr>
        <w:t xml:space="preserve"/>
      </w:r>
    </w:p>
    <w:tbl>
      <w:tblPr>
        <w:tblW w:type="pct" w:w="100%"/>
        <w:tblBorders>
          <w:top w:val="none" w:color="FFFFFF" w:sz="0"/>
          <w:left w:val="single" w:color="A12061" w:sz="18"/>
          <w:bottom w:val="none" w:color="FFFFFF" w:sz="0"/>
          <w:right w:val="none" w:color="FFFFFF" w:sz="0"/>
          <w:insideH w:val="none" w:color="FFFFFF" w:sz="0"/>
          <w:insideV w:val="none" w:color="FFFFFF" w:sz="0"/>
        </w:tblBorders>
        <w:tblLayout w:type="fixed"/>
      </w:tblPr>
      <w:tblGrid>
        <w:gridCol w:w="100"/>
      </w:tblGrid>
      <w:tr>
        <w:tc>
          <w:tcPr>
            <w:shd w:fill="FBE7F1"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A12061"/>
                <w:spacing w:val="12"/>
                <w:sz w:val="18"/>
                <w:szCs w:val="18"/>
              </w:rPr>
              <w:t xml:space="preserve">LÖSUNG DER LEITFRAGE  ·  LF 4 · BEURTEILEN — ERWARTUNGSHORIZONT: MODELL ↔ REALITÄT, ENTSCHEID</w:t>
            </w:r>
          </w:p>
          <w:p>
            <w:pPr>
              <w:pStyle w:val="ListParagraph"/>
              <w:numPr>
                <w:ilvl w:val="0"/>
                <w:numId w:val="2"/>
              </w:numPr>
              <w:spacing w:after="30" w:before="30" w:line="300"/>
              <w:ind w:left="280" w:hanging="280"/>
            </w:pPr>
            <w:r>
              <w:rPr>
                <w:b/>
                <w:bCs/>
              </w:rPr>
              <w:t xml:space="preserve">Gut, wenn:</w:t>
            </w:r>
            <w:r>
              <w:t xml:space="preserve"> Beide Seiten werden benannt: das Bedürfnis nach Maslow und der Einfluss von aussen.</w:t>
            </w:r>
          </w:p>
          <w:p>
            <w:pPr>
              <w:pStyle w:val="ListParagraph"/>
              <w:numPr>
                <w:ilvl w:val="0"/>
                <w:numId w:val="2"/>
              </w:numPr>
              <w:spacing w:after="30" w:before="30" w:line="300"/>
              <w:ind w:left="280" w:hanging="280"/>
            </w:pPr>
            <w:r>
              <w:rPr>
                <w:b/>
                <w:bCs/>
              </w:rPr>
              <w:t xml:space="preserve">Gut, wenn:</w:t>
            </w:r>
            <w:r>
              <w:t xml:space="preserve"> Der Massstab ist überprüfbar (Wenn-dann oder Prüffrage), nicht ein Gefühl.</w:t>
            </w:r>
          </w:p>
          <w:p>
            <w:pPr>
              <w:pStyle w:val="ListParagraph"/>
              <w:numPr>
                <w:ilvl w:val="0"/>
                <w:numId w:val="2"/>
              </w:numPr>
              <w:spacing w:after="30" w:before="30" w:line="300"/>
              <w:ind w:left="280" w:hanging="280"/>
            </w:pPr>
            <w:r>
              <w:rPr>
                <w:b/>
                <w:bCs/>
              </w:rPr>
              <w:t xml:space="preserve">Gut, wenn:</w:t>
            </w:r>
            <w:r>
              <w:t xml:space="preserve"> Der Entscheid zum Handy folgt aus dem Massstab.</w:t>
            </w:r>
          </w:p>
          <w:p>
            <w:pPr>
              <w:pStyle w:val="ListParagraph"/>
              <w:numPr>
                <w:ilvl w:val="0"/>
                <w:numId w:val="2"/>
              </w:numPr>
              <w:spacing w:after="30" w:before="30" w:line="300"/>
              <w:ind w:left="280" w:hanging="280"/>
            </w:pPr>
            <w:r>
              <w:rPr>
                <w:b/>
                <w:bCs/>
              </w:rPr>
              <w:t xml:space="preserve">Beispiel, Pol 1:</w:t>
            </w:r>
            <w:r>
              <w:t xml:space="preserve"> Absage: «Das Handy trifft vor allem Anerkennung, nicht Kommunikation — mein altes reicht. Ich will es jetzt, aber das Geld brauche ich später. Mein Massstab: Ich kaufe nur, wenn ich den Wunsch auch ohne Feed und Klasse noch zwei Wochen später habe.»</w:t>
            </w:r>
          </w:p>
          <w:p>
            <w:pPr>
              <w:pStyle w:val="ListParagraph"/>
              <w:numPr>
                <w:ilvl w:val="0"/>
                <w:numId w:val="2"/>
              </w:numPr>
              <w:spacing w:after="30" w:before="30" w:line="300"/>
              <w:ind w:left="280" w:hanging="280"/>
            </w:pPr>
            <w:r>
              <w:rPr>
                <w:b/>
                <w:bCs/>
              </w:rPr>
              <w:t xml:space="preserve">Beispiel, Pol 2:</w:t>
            </w:r>
            <w:r>
              <w:t xml:space="preserve"> Zusage (wenn das eigene Handy ersetzt werden muss): «Der Wunsch ist geweckt — mein Feed zeigt mir solche Angebote, wie es die Quelle beschreibt —, aber berechtigt: Ich brauche ein Handy, das zuverlässig läuft. 300 Franken fehlen mir dann anderswo, das nehme ich in Kauf. Mein Massstab: Ich kaufe, wenn ein Existenz- oder Sicherheitsbedürfnis dahintersteht und der Preis in meinem Budget Platz hat.»</w:t>
            </w:r>
          </w:p>
          <w:p>
            <w:pPr>
              <w:pStyle w:val="ListParagraph"/>
              <w:numPr>
                <w:ilvl w:val="0"/>
                <w:numId w:val="2"/>
              </w:numPr>
              <w:spacing w:after="30" w:before="30" w:line="300"/>
              <w:ind w:left="280" w:hanging="280"/>
            </w:pPr>
            <w:r>
              <w:rPr>
                <w:b/>
                <w:bCs/>
              </w:rPr>
              <w:t xml:space="preserve">Nicht tragfähig:</w:t>
            </w:r>
            <w:r>
              <w:t xml:space="preserve"> Entscheid ohne Massstab («Ich will es halt») oder Massstab ohne Bezug zur Quelle.</w:t>
            </w:r>
          </w:p>
        </w:tc>
      </w:tr>
    </w:tbl>
    <w:p>
      <w:pPr>
        <w:spacing w:after="0" w:before="0"/>
      </w:pPr>
      <w:r>
        <w:rPr>
          <w:sz w:val="8"/>
          <w:szCs w:val="8"/>
        </w:rPr>
        <w:t xml:space="preserve"/>
      </w:r>
    </w:p>
    <w:p>
      <w:pPr>
        <w:pStyle w:val="Heading3"/>
        <w:keepNext/>
        <w:spacing w:after="80" w:before="280"/>
      </w:pPr>
      <w:r>
        <w:rPr>
          <w:rFonts w:ascii="Source Serif 4" w:cs="Source Serif 4" w:eastAsia="Source Serif 4" w:hAnsi="Source Serif 4"/>
          <w:b/>
          <w:bCs/>
          <w:color w:val="1A1A1A"/>
          <w:sz w:val="26"/>
          <w:szCs w:val="26"/>
        </w:rPr>
        <w:t xml:space="preserve">Tafelbild — Begriffsnetz Heft A</w:t>
      </w:r>
    </w:p>
    <w:tbl>
      <w:tblPr>
        <w:tblW w:type="pct" w:w="100%"/>
        <w:tblBorders>
          <w:top w:val="none" w:color="FFFFFF" w:sz="0"/>
          <w:left w:val="single" w:color="1E5E45" w:sz="18"/>
          <w:bottom w:val="none" w:color="FFFFFF" w:sz="0"/>
          <w:right w:val="none" w:color="FFFFFF" w:sz="0"/>
          <w:insideH w:val="none" w:color="FFFFFF" w:sz="0"/>
          <w:insideV w:val="none" w:color="FFFFFF" w:sz="0"/>
        </w:tblBorders>
        <w:tblLayout w:type="fixed"/>
      </w:tblPr>
      <w:tblGrid>
        <w:gridCol w:w="100"/>
      </w:tblGrid>
      <w:tr>
        <w:tc>
          <w:tcPr>
            <w:shd w:fill="E4EDE8"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1E5E45"/>
                <w:spacing w:val="12"/>
                <w:sz w:val="18"/>
                <w:szCs w:val="18"/>
              </w:rPr>
              <w:t xml:space="preserve">TAFELBILD  ·  ERWARTUNGSBILD — BEGRIFFSNETZ UM DAS GEMEINSAME ZENTRUM</w:t>
            </w:r>
          </w:p>
          <w:p>
            <w:pPr>
              <w:spacing w:after="100" w:before="60" w:line="320"/>
            </w:pPr>
            <w:r>
              <w:rPr>
                <w:b/>
                <w:bCs/>
              </w:rPr>
              <w:t xml:space="preserve">Zentrum:</w:t>
            </w:r>
            <w:r>
              <w:t xml:space="preserve"> «</w:t>
            </w:r>
            <w:r>
              <w:t xml:space="preserve"/>
            </w:r>
            <w:r>
              <w:t xml:space="preserve">Wunsch jetzt oder Sicherheit später</w:t>
            </w:r>
            <w:r>
              <w:t xml:space="preserve"/>
            </w:r>
            <w:r>
              <w:t xml:space="preserve">»</w:t>
            </w:r>
          </w:p>
          <w:p>
            <w:pPr>
              <w:spacing w:after="100" w:before="60" w:line="320"/>
            </w:pPr>
            <w:r>
              <w:rPr>
                <w:b/>
                <w:bCs/>
              </w:rPr>
              <w:t xml:space="preserve">Vorgegebene Knoten (zugleich das Glossar des Hefts):</w:t>
            </w:r>
          </w:p>
          <w:p>
            <w:pPr>
              <w:pStyle w:val="ListParagraph"/>
              <w:numPr>
                <w:ilvl w:val="0"/>
                <w:numId w:val="2"/>
              </w:numPr>
              <w:spacing w:after="30" w:before="30" w:line="300"/>
              <w:ind w:left="280" w:hanging="280"/>
            </w:pPr>
            <w:r>
              <w:t xml:space="preserve">«</w:t>
            </w:r>
            <w:r>
              <w:t xml:space="preserve"/>
            </w:r>
            <w:r>
              <w:t xml:space="preserve">Bedürfnisarten</w:t>
            </w:r>
            <w:r>
              <w:t xml:space="preserve"/>
            </w:r>
            <w:r>
              <w:t xml:space="preserve">»: </w:t>
            </w:r>
            <w:r>
              <w:t xml:space="preserve"/>
            </w:r>
            <w:r>
              <w:t xml:space="preserve">Bedürfnis</w:t>
            </w:r>
            <w:r>
              <w:t xml:space="preserve"/>
            </w:r>
            <w:r>
              <w:t xml:space="preserve"> · </w:t>
            </w:r>
            <w:r>
              <w:t xml:space="preserve"/>
            </w:r>
            <w:r>
              <w:t xml:space="preserve">Gut</w:t>
            </w:r>
            <w:r>
              <w:t xml:space="preserve"/>
            </w:r>
            <w:r>
              <w:t xml:space="preserve"> · </w:t>
            </w:r>
            <w:r>
              <w:t xml:space="preserve"/>
            </w:r>
            <w:r>
              <w:t xml:space="preserve">Existenzbedürfnis</w:t>
            </w:r>
            <w:r>
              <w:t xml:space="preserve"/>
            </w:r>
            <w:r>
              <w:t xml:space="preserve"> · </w:t>
            </w:r>
            <w:r>
              <w:t xml:space="preserve"/>
            </w:r>
            <w:r>
              <w:t xml:space="preserve">Wahlbedürfnis</w:t>
            </w:r>
            <w:r>
              <w:t xml:space="preserve"/>
            </w:r>
            <w:r>
              <w:t xml:space="preserve"> · </w:t>
            </w:r>
            <w:r>
              <w:t xml:space="preserve"/>
            </w:r>
            <w:r>
              <w:t xml:space="preserve">Bedürfnispyramide</w:t>
            </w:r>
            <w:r>
              <w:t xml:space="preserve"/>
            </w:r>
          </w:p>
          <w:p>
            <w:pPr>
              <w:pStyle w:val="ListParagraph"/>
              <w:numPr>
                <w:ilvl w:val="0"/>
                <w:numId w:val="2"/>
              </w:numPr>
              <w:spacing w:after="30" w:before="30" w:line="300"/>
              <w:ind w:left="280" w:hanging="280"/>
            </w:pPr>
            <w:r>
              <w:t xml:space="preserve">«</w:t>
            </w:r>
            <w:r>
              <w:t xml:space="preserve"/>
            </w:r>
            <w:r>
              <w:t xml:space="preserve">Was mich beeinflusst</w:t>
            </w:r>
            <w:r>
              <w:t xml:space="preserve"/>
            </w:r>
            <w:r>
              <w:t xml:space="preserve">»: </w:t>
            </w:r>
            <w:r>
              <w:t xml:space="preserve"/>
            </w:r>
            <w:r>
              <w:t xml:space="preserve">Werbung</w:t>
            </w:r>
            <w:r>
              <w:t xml:space="preserve"/>
            </w:r>
            <w:r>
              <w:t xml:space="preserve"> · </w:t>
            </w:r>
            <w:r>
              <w:t xml:space="preserve"/>
            </w:r>
            <w:r>
              <w:t xml:space="preserve">Impulskauf</w:t>
            </w:r>
            <w:r>
              <w:t xml:space="preserve"/>
            </w:r>
            <w:r>
              <w:t xml:space="preserve"> · </w:t>
            </w:r>
            <w:r>
              <w:t xml:space="preserve"/>
            </w:r>
            <w:r>
              <w:t xml:space="preserve">Konsumdruck</w:t>
            </w:r>
            <w:r>
              <w:t xml:space="preserve"/>
            </w:r>
          </w:p>
          <w:p>
            <w:pPr>
              <w:pStyle w:val="ListParagraph"/>
              <w:numPr>
                <w:ilvl w:val="0"/>
                <w:numId w:val="2"/>
              </w:numPr>
              <w:spacing w:after="30" w:before="30" w:line="300"/>
              <w:ind w:left="280" w:hanging="280"/>
            </w:pPr>
            <w:r>
              <w:t xml:space="preserve">«</w:t>
            </w:r>
            <w:r>
              <w:t xml:space="preserve"/>
            </w:r>
            <w:r>
              <w:t xml:space="preserve">Mein Massstab</w:t>
            </w:r>
            <w:r>
              <w:t xml:space="preserve"/>
            </w:r>
            <w:r>
              <w:t xml:space="preserve">»: </w:t>
            </w:r>
            <w:r>
              <w:t xml:space="preserve"/>
            </w:r>
            <w:r>
              <w:t xml:space="preserve">Geweckter Wunsch</w:t>
            </w:r>
            <w:r>
              <w:t xml:space="preserve"/>
            </w:r>
            <w:r>
              <w:t xml:space="preserve"> · </w:t>
            </w:r>
            <w:r>
              <w:t xml:space="preserve"/>
            </w:r>
            <w:r>
              <w:t xml:space="preserve">Massstab</w:t>
            </w:r>
            <w:r>
              <w:t xml:space="preserve"/>
            </w:r>
          </w:p>
          <w:p>
            <w:pPr>
              <w:pStyle w:val="ListParagraph"/>
              <w:numPr>
                <w:ilvl w:val="0"/>
                <w:numId w:val="2"/>
              </w:numPr>
              <w:spacing w:after="30" w:before="30" w:line="300"/>
              <w:ind w:left="280" w:hanging="280"/>
            </w:pPr>
            <w:r>
              <w:t xml:space="preserve">Zwei leere Knoten: Begriffe aus dem eigenen Raster, in der Spur mit Medien etwa Influencer-Marketing oder Algorithmus, in der Spur ohne Medien etwa Nachfrage.</w:t>
            </w:r>
          </w:p>
          <w:p>
            <w:pPr>
              <w:pStyle w:val="ListParagraph"/>
              <w:numPr>
                <w:ilvl w:val="0"/>
                <w:numId w:val="2"/>
              </w:numPr>
              <w:spacing w:after="30" w:before="30" w:line="300"/>
              <w:ind w:left="280" w:hanging="280"/>
            </w:pPr>
            <w:r>
              <w:t xml:space="preserve">«gilt auch bei …» (offenes Feld): eigene Beispiele, etwa ein Abo-Abschluss oder eine Freizeitausgabe</w:t>
            </w:r>
          </w:p>
          <w:p>
            <w:pPr>
              <w:spacing w:after="100" w:before="60" w:line="320"/>
            </w:pPr>
            <w:r>
              <w:rPr>
                <w:b/>
                <w:bCs/>
              </w:rPr>
              <w:t xml:space="preserve">Tragfähige Verbindungen, zum Beispiel:</w:t>
            </w:r>
            <w:r>
              <w:t xml:space="preserve"> Werbung → Geweckter Wunsch («weckt») · Bedürfnis → Gut («wird befriedigt durch») · Konsumdruck → Impulskauf («führt zu») · Massstab → Impulskauf («bremst») · Wahlbedürfnis → Zentrum («kann warten»). Es zählt, dass die Beschriftung den Zusammenhang nennt, nicht welche fünf Linien gewählt werden.</w:t>
            </w:r>
          </w:p>
          <w:p>
            <w:pPr>
              <w:spacing w:after="100" w:before="60" w:line="320"/>
            </w:pPr>
            <w:r>
              <w:rPr>
                <w:b/>
                <w:bCs/>
              </w:rPr>
              <w:t xml:space="preserve">Optionale Vertiefung (für 100 %):</w:t>
            </w:r>
            <w:r>
              <w:t xml:space="preserve"> </w:t>
            </w:r>
            <w:r>
              <w:t xml:space="preserve"/>
            </w:r>
            <w:r>
              <w:t xml:space="preserve">Einen weiteren Einfluss belegen (eigene Beobachtung oder eine Vertiefungsquelle, falls Ihr Heft eine nennt) und als vierte Farbe auf der Karte zeigen.</w:t>
            </w:r>
            <w:r>
              <w:t xml:space="preserve"/>
            </w:r>
          </w:p>
        </w:tc>
      </w:tr>
    </w:tbl>
    <w:p>
      <w:pPr>
        <w:spacing w:after="0" w:before="0"/>
      </w:pPr>
      <w:r>
        <w:rPr>
          <w:sz w:val="8"/>
          <w:szCs w:val="8"/>
        </w:rPr>
        <w:t xml:space="preserve"/>
      </w:r>
    </w:p>
    <w:p>
      <w:pPr>
        <w:pStyle w:val="Heading3"/>
        <w:keepNext/>
        <w:spacing w:after="80" w:before="280"/>
      </w:pPr>
      <w:r>
        <w:rPr>
          <w:rFonts w:ascii="Source Serif 4" w:cs="Source Serif 4" w:eastAsia="Source Serif 4" w:hAnsi="Source Serif 4"/>
          <w:b/>
          <w:bCs/>
          <w:color w:val="1A1A1A"/>
          <w:sz w:val="26"/>
          <w:szCs w:val="26"/>
        </w:rPr>
        <w:t xml:space="preserve">Wann ist das Heft fertig? (Selbstcheck — formativ, nicht benotet)</w:t>
      </w:r>
    </w:p>
    <w:p>
      <w:pPr>
        <w:spacing w:after="100" w:before="60" w:line="320"/>
      </w:pPr>
      <w:r>
        <w:rPr>
          <w:b/>
          <w:bCs/>
        </w:rPr>
        <w:t xml:space="preserve">Leitfragen</w:t>
      </w:r>
    </w:p>
    <w:p>
      <w:r>
        <w:rPr>
          <w:color w:val="7A7A7A"/>
          <w:sz w:val="20"/>
          <w:szCs w:val="20"/>
        </w:rPr>
        <w:t xml:space="preserve">
</w:t>
      </w:r>
    </w:p>
    <w:p>
      <w:pPr>
        <w:spacing w:after="100" w:before="60" w:line="320"/>
      </w:pPr>
      <w:r>
        <w:t xml:space="preserve">☐ LF1 trennt Gut und Bedürfnis an einem Beispiel
☐ LF2 hat fünf Einträge im Dreischritt
☐ LF4 prüft beide Seiten und entscheidet</w:t>
      </w:r>
    </w:p>
    <w:p>
      <w:r>
        <w:rPr>
          <w:color w:val="7A7A7A"/>
          <w:sz w:val="20"/>
          <w:szCs w:val="20"/>
        </w:rPr>
        <w:t xml:space="preserve"/>
      </w:r>
    </w:p>
    <w:p>
      <w:pPr>
        <w:spacing w:after="100" w:before="60" w:line="320"/>
      </w:pPr>
      <w:r>
        <w:rPr>
          <w:b/>
          <w:bCs/>
        </w:rPr>
        <w:t xml:space="preserve">Quelle</w:t>
      </w:r>
    </w:p>
    <w:p>
      <w:r>
        <w:rPr>
          <w:color w:val="7A7A7A"/>
          <w:sz w:val="20"/>
          <w:szCs w:val="20"/>
        </w:rPr>
        <w:t xml:space="preserve">
</w:t>
      </w:r>
    </w:p>
    <w:p>
      <w:pPr>
        <w:spacing w:after="100" w:before="60" w:line="320"/>
      </w:pPr>
      <w:r>
        <w:t xml:space="preserve">☐ Raster mit vier Zeilen und Beleg
☐ Jede Zeile hat einen Begriff aus LF1
☐ Befund in zwei bis drei Sätzen</w:t>
      </w:r>
    </w:p>
    <w:p>
      <w:r>
        <w:rPr>
          <w:color w:val="7A7A7A"/>
          <w:sz w:val="20"/>
          <w:szCs w:val="20"/>
        </w:rPr>
        <w:t xml:space="preserve"/>
      </w:r>
    </w:p>
    <w:p>
      <w:pPr>
        <w:spacing w:after="100" w:before="60" w:line="320"/>
      </w:pPr>
      <w:r>
        <w:rPr>
          <w:b/>
          <w:bCs/>
        </w:rPr>
        <w:t xml:space="preserve">Landkarte</w:t>
      </w:r>
    </w:p>
    <w:p>
      <w:r>
        <w:rPr>
          <w:color w:val="7A7A7A"/>
          <w:sz w:val="20"/>
          <w:szCs w:val="20"/>
        </w:rPr>
        <w:t xml:space="preserve">
</w:t>
      </w:r>
    </w:p>
    <w:p>
      <w:pPr>
        <w:spacing w:after="100" w:before="60" w:line="320"/>
      </w:pPr>
      <w:r>
        <w:t xml:space="preserve">☐ Mind. 8 Einträge
☐ Legende mit drei Markierungen angewendet
☐ Massstab-Satz und Entscheid am Rand</w:t>
      </w:r>
    </w:p>
    <w:p>
      <w:r>
        <w:rPr>
          <w:color w:val="7A7A7A"/>
          <w:sz w:val="20"/>
          <w:szCs w:val="20"/>
        </w:rPr>
        <w:t xml:space="preserve"/>
      </w:r>
    </w:p>
    <w:p>
      <w:pPr>
        <w:spacing w:after="100" w:before="60" w:line="320"/>
      </w:pPr>
      <w:r>
        <w:rPr>
          <w:b/>
          <w:bCs/>
        </w:rPr>
        <w:t xml:space="preserve">Abschluss</w:t>
      </w:r>
    </w:p>
    <w:p>
      <w:r>
        <w:rPr>
          <w:color w:val="7A7A7A"/>
          <w:sz w:val="20"/>
          <w:szCs w:val="20"/>
        </w:rPr>
        <w:t xml:space="preserve">
</w:t>
      </w:r>
    </w:p>
    <w:p>
      <w:pPr>
        <w:spacing w:after="100" w:before="60" w:line="320"/>
      </w:pPr>
      <w:r>
        <w:t xml:space="preserve">☐ Begriffsnetz mit mind. 5 beschrifteten Verbindungen
☐ Quer-Check abgehakt
☐ «Das nehme ich mit» ausgefüllt</w:t>
      </w:r>
    </w:p>
    <w:p>
      <w:r>
        <w:rPr>
          <w:color w:val="7A7A7A"/>
          <w:sz w:val="20"/>
          <w:szCs w:val="20"/>
        </w:rPr>
        <w:t xml:space="preserve"/>
      </w:r>
    </w:p>
    <w:tbl>
      <w:tblPr>
        <w:tblW w:type="pct" w:w="100%"/>
        <w:tblBorders>
          <w:top w:val="single" w:color="4A4A4A" w:sz="8"/>
          <w:left w:val="single" w:color="4A4A4A" w:sz="40"/>
          <w:bottom w:val="single" w:color="4A4A4A" w:sz="8"/>
          <w:right w:val="single" w:color="4A4A4A" w:sz="8"/>
          <w:insideH w:val="none" w:color="FFFFFF" w:sz="0"/>
          <w:insideV w:val="none" w:color="FFFFFF" w:sz="0"/>
        </w:tblBorders>
        <w:tblLayout w:type="fixed"/>
      </w:tblPr>
      <w:tblGrid>
        <w:gridCol w:w="100"/>
      </w:tblGrid>
      <w:tr>
        <w:tc>
          <w:tcPr>
            <w:shd w:fill="4A4A4A" w:color="auto" w:val="clear"/>
            <w:tcMar>
              <w:top w:type="dxa" w:w="70"/>
              <w:left w:type="dxa" w:w="220"/>
              <w:bottom w:type="dxa" w:w="70"/>
              <w:right w:type="dxa" w:w="180"/>
            </w:tcMar>
          </w:tcPr>
          <w:p>
            <w:pPr>
              <w:spacing w:after="0" w:before="0"/>
            </w:pPr>
            <w:r>
              <w:rPr>
                <w:rFonts w:ascii="Source Sans 3" w:cs="Source Sans 3" w:eastAsia="Source Sans 3" w:hAnsi="Source Sans 3"/>
                <w:b/>
                <w:bCs/>
                <w:color w:val="FFFFFF"/>
                <w:spacing w:val="16"/>
                <w:sz w:val="21"/>
                <w:szCs w:val="21"/>
              </w:rPr>
              <w:t xml:space="preserve">DIFFERENZIEREN  ·  80 VS. 100 — HERAUSFORDERUNG A</w:t>
            </w:r>
          </w:p>
        </w:tc>
      </w:tr>
      <w:tr>
        <w:tc>
          <w:tcPr>
            <w:shd w:fill="EDEDED" w:color="auto" w:val="clear"/>
            <w:tcMar>
              <w:top w:type="dxa" w:w="150"/>
              <w:left w:type="dxa" w:w="220"/>
              <w:bottom w:type="dxa" w:w="150"/>
              <w:right w:type="dxa" w:w="180"/>
            </w:tcMar>
          </w:tcPr>
          <w:p>
            <w:pPr>
              <w:spacing w:after="100" w:before="60" w:line="320"/>
            </w:pPr>
            <w:r>
              <w:rPr>
                <w:b/>
                <w:bCs/>
              </w:rPr>
              <w:t xml:space="preserve">80 % (alle):</w:t>
            </w:r>
            <w:r>
              <w:t xml:space="preserve"> Landkarte mit mindestens acht Einträgen, Legende mit drei Markierungen, Massstab-Satz und Entscheid. Als Stütze dient das Beispiel auf S. 6 («So kann Ihr Produkt aussehen»): eine ausgefüllte Landkarte an einem anderen Fall. </w:t>
            </w:r>
            <w:r>
              <w:rPr>
                <w:b/>
                <w:bCs/>
              </w:rPr>
              <w:t xml:space="preserve">100 % (Vertiefung):</w:t>
            </w:r>
            <w:r>
              <w:t xml:space="preserve"> ein weiterer belegter Einfluss als vierte Farbe auf der Karte (siehe Tafelbild).</w:t>
            </w:r>
          </w:p>
        </w:tc>
      </w:tr>
    </w:tbl>
    <w:p>
      <w:pPr>
        <w:spacing w:after="0" w:before="0"/>
      </w:pPr>
      <w:r>
        <w:rPr>
          <w:sz w:val="8"/>
          <w:szCs w:val="8"/>
        </w:rPr>
        <w:t xml:space="preserve"/>
      </w:r>
    </w:p>
    <w:p>
      <w:pPr>
        <w:pStyle w:val="Heading2"/>
        <w:keepNext/>
        <w:pageBreakBefore/>
        <w:pBdr>
          <w:bottom w:val="single" w:color="80FF00" w:sz="18" w:space="6"/>
        </w:pBdr>
        <w:spacing w:after="160" w:before="0"/>
      </w:pPr>
      <w:bookmarkStart w:name="chap-4" w:id="1"/>
      <w:r>
        <w:rPr>
          <w:rFonts w:ascii="Source Serif 4" w:cs="Source Serif 4" w:eastAsia="Source Serif 4" w:hAnsi="Source Serif 4"/>
          <w:b/>
          <w:bCs/>
          <w:color w:val="1A1A1A"/>
          <w:sz w:val="36"/>
          <w:szCs w:val="36"/>
        </w:rPr>
        <w:t xml:space="preserve">4. Herausforderung B — Budget planen und Schulden vermeiden</w:t>
      </w:r>
      <w:bookmarkEnd w:id="1"/>
    </w:p>
    <w:tbl>
      <w:tblPr>
        <w:tblW w:type="pct" w:w="100%"/>
        <w:tblBorders>
          <w:top w:val="single" w:color="DCDCDC" w:sz="4"/>
          <w:left w:val="single" w:color="DCDCDC" w:sz="4"/>
          <w:bottom w:val="single" w:color="DCDCDC" w:sz="4"/>
          <w:right w:val="single" w:color="DCDCDC" w:sz="4"/>
          <w:insideH w:val="single" w:color="DCDCDC" w:sz="4"/>
          <w:insideV w:val="single" w:color="DCDCDC" w:sz="4"/>
        </w:tblBorders>
        <w:tblLayout w:type="fixed"/>
      </w:tblPr>
      <w:tblGrid>
        <w:gridCol w:w="100"/>
        <w:gridCol w:w="100"/>
      </w:tblGrid>
      <w:tr>
        <w:trPr>
          <w:tblHeader/>
        </w:trPr>
        <w:tc>
          <w:tcPr>
            <w:shd w:fill="1A1A1A" w:color="auto" w:val="clear"/>
            <w:tcMar>
              <w:top w:type="dxa" w:w="80"/>
              <w:left w:type="dxa" w:w="120"/>
              <w:bottom w:type="dxa" w:w="80"/>
              <w:right w:type="dxa" w:w="120"/>
            </w:tcMar>
          </w:tcPr>
          <w:p>
            <w:pPr>
              <w:spacing w:after="0" w:before="0"/>
            </w:pPr>
            <w:r>
              <w:rPr>
                <w:b/>
                <w:bCs/>
                <w:color w:val="FFFFFF"/>
                <w:sz w:val="19"/>
                <w:szCs w:val="19"/>
              </w:rPr>
              <w:t xml:space="preserve">Feld</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Inhalt</w:t>
            </w:r>
          </w:p>
        </w:tc>
      </w:tr>
      <w:tr>
        <w:tc>
          <w:tcPr>
            <w:tcMar>
              <w:top w:type="dxa" w:w="70"/>
              <w:left w:type="dxa" w:w="120"/>
              <w:bottom w:type="dxa" w:w="70"/>
              <w:right w:type="dxa" w:w="120"/>
            </w:tcMar>
          </w:tcPr>
          <w:p>
            <w:pPr>
              <w:spacing w:after="0" w:before="0"/>
            </w:pPr>
            <w:r>
              <w:rPr>
                <w:b w:val="false"/>
                <w:bCs w:val="false"/>
                <w:sz w:val="20"/>
                <w:szCs w:val="20"/>
              </w:rPr>
              <w:t xml:space="preserve">Titel</w:t>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Am 20. ist das Konto leer</w:t>
            </w:r>
            <w:r>
              <w:rPr>
                <w:b w:val="false"/>
                <w:bCs w:val="false"/>
                <w:sz w:val="20"/>
                <w:szCs w:val="20"/>
              </w:rPr>
              <w:t xml:space="preserve"/>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Herausforderung</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Budget planen und Schulden vermeiden</w:t>
            </w:r>
            <w:r>
              <w:rPr>
                <w:b w:val="false"/>
                <w:bCs w:val="false"/>
                <w:sz w:val="20"/>
                <w:szCs w:val="20"/>
              </w:rPr>
              <w:t xml:space="preserve"/>
            </w:r>
            <w:r>
              <w:rPr>
                <w:b w:val="false"/>
                <w:bCs w:val="false"/>
                <w:sz w:val="20"/>
                <w:szCs w:val="20"/>
              </w:rPr>
              <w:t xml:space="preserve"> (1.3.2 und 1.3.3)</w:t>
            </w:r>
          </w:p>
        </w:tc>
      </w:tr>
      <w:tr>
        <w:tc>
          <w:tcPr>
            <w:tcMar>
              <w:top w:type="dxa" w:w="70"/>
              <w:left w:type="dxa" w:w="120"/>
              <w:bottom w:type="dxa" w:w="70"/>
              <w:right w:type="dxa" w:w="120"/>
            </w:tcMar>
          </w:tcPr>
          <w:p>
            <w:pPr>
              <w:spacing w:after="0" w:before="0"/>
            </w:pPr>
            <w:r>
              <w:rPr>
                <w:b w:val="false"/>
                <w:bCs w:val="false"/>
                <w:sz w:val="20"/>
                <w:szCs w:val="20"/>
              </w:rPr>
              <w:t xml:space="preserve">Persona</w:t>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Lernende/r EFZ, 1. Lehrjahr</w:t>
            </w:r>
            <w:r>
              <w:rPr>
                <w:b w:val="false"/>
                <w:bCs w:val="false"/>
                <w:sz w:val="20"/>
                <w:szCs w:val="20"/>
              </w:rPr>
              <w:t xml:space="preserve"/>
            </w:r>
            <w:r>
              <w:rPr>
                <w:b w:val="false"/>
                <w:bCs w:val="false"/>
                <w:sz w:val="20"/>
                <w:szCs w:val="20"/>
              </w:rPr>
              <w:t xml:space="preserve"> — </w:t>
            </w:r>
            <w:r>
              <w:rPr>
                <w:b w:val="false"/>
                <w:bCs w:val="false"/>
                <w:sz w:val="20"/>
                <w:szCs w:val="20"/>
              </w:rPr>
              <w:t xml:space="preserve"/>
            </w:r>
            <w:r>
              <w:rPr>
                <w:b w:val="false"/>
                <w:bCs w:val="false"/>
                <w:sz w:val="20"/>
                <w:szCs w:val="20"/>
              </w:rPr>
              <w:t xml:space="preserve">eigener Lehrbetrieb</w:t>
            </w:r>
            <w:r>
              <w:rPr>
                <w:b w:val="false"/>
                <w:bCs w:val="false"/>
                <w:sz w:val="20"/>
                <w:szCs w:val="20"/>
              </w:rPr>
              <w:t xml:space="preserve"/>
            </w:r>
            <w:r>
              <w:rPr>
                <w:b w:val="false"/>
                <w:bCs w:val="false"/>
                <w:sz w:val="20"/>
                <w:szCs w:val="20"/>
              </w:rPr>
              <w:t xml:space="preserve">, </w:t>
            </w:r>
            <w:r>
              <w:rPr>
                <w:b w:val="false"/>
                <w:bCs w:val="false"/>
                <w:sz w:val="20"/>
                <w:szCs w:val="20"/>
              </w:rPr>
              <w:t xml:space="preserve"/>
            </w:r>
            <w:r>
              <w:rPr>
                <w:b w:val="false"/>
                <w:bCs w:val="false"/>
                <w:sz w:val="20"/>
                <w:szCs w:val="20"/>
              </w:rPr>
              <w:t xml:space="preserve">eigener Wohnort</w:t>
            </w:r>
            <w:r>
              <w:rPr>
                <w:b w:val="false"/>
                <w:bCs w:val="false"/>
                <w:sz w:val="20"/>
                <w:szCs w:val="20"/>
              </w:rPr>
              <w:t xml:space="preserve"/>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Aspekte (Ges)</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Wirtschaft (R1), Ethik (R1)</w:t>
            </w:r>
          </w:p>
        </w:tc>
      </w:tr>
      <w:tr>
        <w:tc>
          <w:tcPr>
            <w:tcMar>
              <w:top w:type="dxa" w:w="70"/>
              <w:left w:type="dxa" w:w="120"/>
              <w:bottom w:type="dxa" w:w="70"/>
              <w:right w:type="dxa" w:w="120"/>
            </w:tcMar>
          </w:tcPr>
          <w:p>
            <w:pPr>
              <w:spacing w:after="0" w:before="0"/>
            </w:pPr>
            <w:r>
              <w:rPr>
                <w:b w:val="false"/>
                <w:bCs w:val="false"/>
                <w:sz w:val="20"/>
                <w:szCs w:val="20"/>
              </w:rPr>
              <w:t xml:space="preserve">Sprachmodi</w:t>
            </w:r>
          </w:p>
        </w:tc>
        <w:tc>
          <w:tcPr>
            <w:tcMar>
              <w:top w:type="dxa" w:w="70"/>
              <w:left w:type="dxa" w:w="120"/>
              <w:bottom w:type="dxa" w:w="70"/>
              <w:right w:type="dxa" w:w="120"/>
            </w:tcMar>
          </w:tcPr>
          <w:p>
            <w:pPr>
              <w:spacing w:after="0" w:before="0"/>
            </w:pPr>
            <w:r>
              <w:rPr>
                <w:b w:val="false"/>
                <w:bCs w:val="false"/>
                <w:sz w:val="20"/>
                <w:szCs w:val="20"/>
              </w:rPr>
              <w:t xml:space="preserve">Rezeption schriftlich und bildlich · Interaktion und Kollaboration mündlich</w:t>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Schlüsselkompetenzen</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SK2, SK6, SK11</w:t>
            </w:r>
          </w:p>
        </w:tc>
      </w:tr>
      <w:tr>
        <w:tc>
          <w:tcPr>
            <w:tcMar>
              <w:top w:type="dxa" w:w="70"/>
              <w:left w:type="dxa" w:w="120"/>
              <w:bottom w:type="dxa" w:w="70"/>
              <w:right w:type="dxa" w:w="120"/>
            </w:tcMar>
          </w:tcPr>
          <w:p>
            <w:pPr>
              <w:spacing w:after="0" w:before="0"/>
            </w:pPr>
            <w:r>
              <w:rPr>
                <w:b w:val="false"/>
                <w:bCs w:val="false"/>
                <w:sz w:val="20"/>
                <w:szCs w:val="20"/>
              </w:rPr>
              <w:t xml:space="preserve">Spannungsfeld</w:t>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Momentaner Wunsch vs. langfristige finanzielle Sicherheit</w:t>
            </w:r>
            <w:r>
              <w:rPr>
                <w:b w:val="false"/>
                <w:bCs w:val="false"/>
                <w:sz w:val="20"/>
                <w:szCs w:val="20"/>
              </w:rPr>
              <w:t xml:space="preserve"/>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KN-Kriterien</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Argumentation (SuK), Wirtschaftliches Prinzip (Ges)</w:t>
            </w:r>
          </w:p>
        </w:tc>
      </w:tr>
      <w:tr>
        <w:tc>
          <w:tcPr>
            <w:tcMar>
              <w:top w:type="dxa" w:w="70"/>
              <w:left w:type="dxa" w:w="120"/>
              <w:bottom w:type="dxa" w:w="70"/>
              <w:right w:type="dxa" w:w="120"/>
            </w:tcMar>
          </w:tcPr>
          <w:p>
            <w:pPr>
              <w:spacing w:after="0" w:before="0"/>
            </w:pPr>
            <w:r>
              <w:rPr>
                <w:b w:val="false"/>
                <w:bCs w:val="false"/>
                <w:sz w:val="20"/>
                <w:szCs w:val="20"/>
              </w:rPr>
              <w:t xml:space="preserve">Lehrmittel</w:t>
            </w:r>
          </w:p>
        </w:tc>
        <w:tc>
          <w:tcPr>
            <w:tcMar>
              <w:top w:type="dxa" w:w="70"/>
              <w:left w:type="dxa" w:w="120"/>
              <w:bottom w:type="dxa" w:w="70"/>
              <w:right w:type="dxa" w:w="120"/>
            </w:tcMar>
          </w:tcPr>
          <w:p>
            <w:pPr>
              <w:spacing w:after="0" w:before="0"/>
            </w:pPr>
            <w:r>
              <w:rPr>
                <w:b w:val="false"/>
                <w:bCs w:val="false"/>
                <w:sz w:val="20"/>
                <w:szCs w:val="20"/>
              </w:rPr>
              <w:t xml:space="preserve">Kap. 2.1, </w:t>
            </w:r>
            <w:r>
              <w:rPr>
                <w:b w:val="false"/>
                <w:bCs w:val="false"/>
                <w:sz w:val="20"/>
                <w:szCs w:val="20"/>
              </w:rPr>
              <w:t xml:space="preserve"/>
            </w:r>
            <w:r>
              <w:rPr>
                <w:b w:val="false"/>
                <w:bCs w:val="false"/>
                <w:sz w:val="20"/>
                <w:szCs w:val="20"/>
              </w:rPr>
              <w:t xml:space="preserve">Seite 46-47</w:t>
            </w:r>
            <w:r>
              <w:rPr>
                <w:b w:val="false"/>
                <w:bCs w:val="false"/>
                <w:sz w:val="20"/>
                <w:szCs w:val="20"/>
              </w:rPr>
              <w:t xml:space="preserve"/>
            </w:r>
            <w:r>
              <w:rPr>
                <w:b w:val="false"/>
                <w:bCs w:val="false"/>
                <w:sz w:val="20"/>
                <w:szCs w:val="20"/>
              </w:rPr>
              <w:t xml:space="preserve">; Kap. 2.2, </w:t>
            </w:r>
            <w:r>
              <w:rPr>
                <w:b w:val="false"/>
                <w:bCs w:val="false"/>
                <w:sz w:val="20"/>
                <w:szCs w:val="20"/>
              </w:rPr>
              <w:t xml:space="preserve"/>
            </w:r>
            <w:r>
              <w:rPr>
                <w:b w:val="false"/>
                <w:bCs w:val="false"/>
                <w:sz w:val="20"/>
                <w:szCs w:val="20"/>
              </w:rPr>
              <w:t xml:space="preserve">Seite 48</w:t>
            </w:r>
            <w:r>
              <w:rPr>
                <w:b w:val="false"/>
                <w:bCs w:val="false"/>
                <w:sz w:val="20"/>
                <w:szCs w:val="20"/>
              </w:rPr>
              <w:t xml:space="preserve"/>
            </w:r>
            <w:r>
              <w:rPr>
                <w:b w:val="false"/>
                <w:bCs w:val="false"/>
                <w:sz w:val="20"/>
                <w:szCs w:val="20"/>
              </w:rPr>
              <w:t xml:space="preserve">; Kap. 8.2, </w:t>
            </w:r>
            <w:r>
              <w:rPr>
                <w:b w:val="false"/>
                <w:bCs w:val="false"/>
                <w:sz w:val="20"/>
                <w:szCs w:val="20"/>
              </w:rPr>
              <w:t xml:space="preserve"/>
            </w:r>
            <w:r>
              <w:rPr>
                <w:b w:val="false"/>
                <w:bCs w:val="false"/>
                <w:sz w:val="20"/>
                <w:szCs w:val="20"/>
              </w:rPr>
              <w:t xml:space="preserve">Seite 199-200</w:t>
            </w:r>
            <w:r>
              <w:rPr>
                <w:b w:val="false"/>
                <w:bCs w:val="false"/>
                <w:sz w:val="20"/>
                <w:szCs w:val="20"/>
              </w:rPr>
              <w:t xml:space="preserve"/>
            </w:r>
          </w:p>
        </w:tc>
      </w:tr>
    </w:tbl>
    <w:p>
      <w:pPr>
        <w:spacing w:after="0" w:before="0"/>
      </w:pPr>
      <w:r>
        <w:rPr>
          <w:sz w:val="8"/>
          <w:szCs w:val="8"/>
        </w:rPr>
        <w:t xml:space="preserve"/>
      </w:r>
    </w:p>
    <w:p>
      <w:pPr>
        <w:spacing w:after="100" w:before="60" w:line="320"/>
      </w:pPr>
      <w:r>
        <w:rPr>
          <w:b/>
          <w:bCs/>
        </w:rPr>
        <w:t xml:space="preserve">Zwei Kompetenzen in einem Heft.</w:t>
      </w:r>
      <w:r>
        <w:t xml:space="preserve"> Heft B führt 1.3.2 und 1.3.3 zusammen. Die Verben verteilen sich so:</w:t>
      </w:r>
    </w:p>
    <w:tbl>
      <w:tblPr>
        <w:tblW w:type="pct" w:w="100%"/>
        <w:tblBorders>
          <w:top w:val="single" w:color="DCDCDC" w:sz="4"/>
          <w:left w:val="single" w:color="DCDCDC" w:sz="4"/>
          <w:bottom w:val="single" w:color="DCDCDC" w:sz="4"/>
          <w:right w:val="single" w:color="DCDCDC" w:sz="4"/>
          <w:insideH w:val="single" w:color="DCDCDC" w:sz="4"/>
          <w:insideV w:val="single" w:color="DCDCDC" w:sz="4"/>
        </w:tblBorders>
        <w:tblLayout w:type="fixed"/>
      </w:tblPr>
      <w:tblGrid>
        <w:gridCol w:w="100"/>
        <w:gridCol w:w="100"/>
      </w:tblGrid>
      <w:tr>
        <w:trPr>
          <w:tblHeader/>
        </w:trPr>
        <w:tc>
          <w:tcPr>
            <w:shd w:fill="1A1A1A" w:color="auto" w:val="clear"/>
            <w:tcMar>
              <w:top w:type="dxa" w:w="80"/>
              <w:left w:type="dxa" w:w="120"/>
              <w:bottom w:type="dxa" w:w="80"/>
              <w:right w:type="dxa" w:w="120"/>
            </w:tcMar>
          </w:tcPr>
          <w:p>
            <w:pPr>
              <w:spacing w:after="0" w:before="0"/>
            </w:pPr>
            <w:r>
              <w:rPr>
                <w:b/>
                <w:bCs/>
                <w:color w:val="FFFFFF"/>
                <w:sz w:val="19"/>
                <w:szCs w:val="19"/>
              </w:rPr>
              <w:t xml:space="preserve">Verb aus dem nRLP</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Wo im Heft</w:t>
            </w:r>
          </w:p>
        </w:tc>
      </w:tr>
      <w:tr>
        <w:tc>
          <w:tcPr>
            <w:tcMar>
              <w:top w:type="dxa" w:w="70"/>
              <w:left w:type="dxa" w:w="120"/>
              <w:bottom w:type="dxa" w:w="70"/>
              <w:right w:type="dxa" w:w="120"/>
            </w:tcMar>
          </w:tcPr>
          <w:p>
            <w:pPr>
              <w:spacing w:after="0" w:before="0"/>
            </w:pPr>
            <w:r>
              <w:rPr>
                <w:b w:val="false"/>
                <w:bCs w:val="false"/>
                <w:sz w:val="20"/>
                <w:szCs w:val="20"/>
              </w:rPr>
              <w:t xml:space="preserve">Budget </w:t>
            </w:r>
            <w:r>
              <w:rPr>
                <w:b/>
                <w:bCs/>
                <w:sz w:val="20"/>
                <w:szCs w:val="20"/>
              </w:rPr>
              <w:t xml:space="preserve">planen</w:t>
            </w:r>
            <w:r>
              <w:rPr>
                <w:b w:val="false"/>
                <w:bCs w:val="false"/>
                <w:sz w:val="20"/>
                <w:szCs w:val="20"/>
              </w:rPr>
              <w:t xml:space="preserve"> (1.3.2)</w:t>
            </w:r>
          </w:p>
        </w:tc>
        <w:tc>
          <w:tcPr>
            <w:tcMar>
              <w:top w:type="dxa" w:w="70"/>
              <w:left w:type="dxa" w:w="120"/>
              <w:bottom w:type="dxa" w:w="70"/>
              <w:right w:type="dxa" w:w="120"/>
            </w:tcMar>
          </w:tcPr>
          <w:p>
            <w:pPr>
              <w:spacing w:after="0" w:before="0"/>
            </w:pPr>
            <w:r>
              <w:rPr>
                <w:b w:val="false"/>
                <w:bCs w:val="false"/>
                <w:sz w:val="20"/>
                <w:szCs w:val="20"/>
              </w:rPr>
              <w:t xml:space="preserve">LF2, Schritte 01–02</w:t>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Abweichungen und Risiken </w:t>
            </w:r>
            <w:r>
              <w:rPr>
                <w:b/>
                <w:bCs/>
                <w:sz w:val="20"/>
                <w:szCs w:val="20"/>
              </w:rPr>
              <w:t xml:space="preserve">identifizieren</w:t>
            </w:r>
            <w:r>
              <w:rPr>
                <w:b w:val="false"/>
                <w:bCs w:val="false"/>
                <w:sz w:val="20"/>
                <w:szCs w:val="20"/>
              </w:rPr>
              <w:t xml:space="preserve"> (1.3.2) + Verschuldungsrisiken </w:t>
            </w:r>
            <w:r>
              <w:rPr>
                <w:b/>
                <w:bCs/>
                <w:sz w:val="20"/>
                <w:szCs w:val="20"/>
              </w:rPr>
              <w:t xml:space="preserve">erkennen</w:t>
            </w:r>
            <w:r>
              <w:rPr>
                <w:b w:val="false"/>
                <w:bCs w:val="false"/>
                <w:sz w:val="20"/>
                <w:szCs w:val="20"/>
              </w:rPr>
              <w:t xml:space="preserve"> (1.3.3)</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LF3, Schritt 03</w:t>
            </w:r>
          </w:p>
        </w:tc>
      </w:tr>
      <w:tr>
        <w:tc>
          <w:tcPr>
            <w:tcMar>
              <w:top w:type="dxa" w:w="70"/>
              <w:left w:type="dxa" w:w="120"/>
              <w:bottom w:type="dxa" w:w="70"/>
              <w:right w:type="dxa" w:w="120"/>
            </w:tcMar>
          </w:tcPr>
          <w:p>
            <w:pPr>
              <w:spacing w:after="0" w:before="0"/>
            </w:pPr>
            <w:r>
              <w:rPr>
                <w:b/>
                <w:bCs/>
                <w:sz w:val="20"/>
                <w:szCs w:val="20"/>
              </w:rPr>
              <w:t xml:space="preserve">Anpassungen vornehmen</w:t>
            </w:r>
            <w:r>
              <w:rPr>
                <w:b w:val="false"/>
                <w:bCs w:val="false"/>
                <w:sz w:val="20"/>
                <w:szCs w:val="20"/>
              </w:rPr>
              <w:t xml:space="preserve"> (1.3.2) + </w:t>
            </w:r>
            <w:r>
              <w:rPr>
                <w:b/>
                <w:bCs/>
                <w:sz w:val="20"/>
                <w:szCs w:val="20"/>
              </w:rPr>
              <w:t xml:space="preserve">Wege zur Vermeidung entwickeln</w:t>
            </w:r>
            <w:r>
              <w:rPr>
                <w:b w:val="false"/>
                <w:bCs w:val="false"/>
                <w:sz w:val="20"/>
                <w:szCs w:val="20"/>
              </w:rPr>
              <w:t xml:space="preserve"> (1.3.3)</w:t>
            </w:r>
          </w:p>
        </w:tc>
        <w:tc>
          <w:tcPr>
            <w:tcMar>
              <w:top w:type="dxa" w:w="70"/>
              <w:left w:type="dxa" w:w="120"/>
              <w:bottom w:type="dxa" w:w="70"/>
              <w:right w:type="dxa" w:w="120"/>
            </w:tcMar>
          </w:tcPr>
          <w:p>
            <w:pPr>
              <w:spacing w:after="0" w:before="0"/>
            </w:pPr>
            <w:r>
              <w:rPr>
                <w:b w:val="false"/>
                <w:bCs w:val="false"/>
                <w:sz w:val="20"/>
                <w:szCs w:val="20"/>
              </w:rPr>
              <w:t xml:space="preserve">LF4, Schritt 04</w:t>
            </w:r>
          </w:p>
        </w:tc>
      </w:tr>
      <w:tr>
        <w:tc>
          <w:tcPr>
            <w:shd w:fill="FAFAF7" w:color="auto" w:val="clear"/>
            <w:tcMar>
              <w:top w:type="dxa" w:w="70"/>
              <w:left w:type="dxa" w:w="120"/>
              <w:bottom w:type="dxa" w:w="70"/>
              <w:right w:type="dxa" w:w="120"/>
            </w:tcMar>
          </w:tcPr>
          <w:p>
            <w:pPr>
              <w:spacing w:after="0" w:before="0"/>
            </w:pPr>
            <w:r>
              <w:rPr>
                <w:b/>
                <w:bCs/>
                <w:sz w:val="20"/>
                <w:szCs w:val="20"/>
              </w:rPr>
              <w:t xml:space="preserve">austauschen</w:t>
            </w:r>
            <w:r>
              <w:rPr>
                <w:b w:val="false"/>
                <w:bCs w:val="false"/>
                <w:sz w:val="20"/>
                <w:szCs w:val="20"/>
              </w:rPr>
              <w:t xml:space="preserve"> (1.3.2) + </w:t>
            </w:r>
            <w:r>
              <w:rPr>
                <w:b/>
                <w:bCs/>
                <w:sz w:val="20"/>
                <w:szCs w:val="20"/>
              </w:rPr>
              <w:t xml:space="preserve">diskutieren</w:t>
            </w:r>
            <w:r>
              <w:rPr>
                <w:b w:val="false"/>
                <w:bCs w:val="false"/>
                <w:sz w:val="20"/>
                <w:szCs w:val="20"/>
              </w:rPr>
              <w:t xml:space="preserve"> (1.3.3)</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Budgetgespräch, Schritt 05</w:t>
            </w:r>
          </w:p>
        </w:tc>
      </w:tr>
      <w:tr>
        <w:tc>
          <w:tcPr>
            <w:tcMar>
              <w:top w:type="dxa" w:w="70"/>
              <w:left w:type="dxa" w:w="120"/>
              <w:bottom w:type="dxa" w:w="70"/>
              <w:right w:type="dxa" w:w="120"/>
            </w:tcMar>
          </w:tcPr>
          <w:p>
            <w:pPr>
              <w:spacing w:after="0" w:before="0"/>
            </w:pPr>
            <w:r>
              <w:rPr>
                <w:b w:val="false"/>
                <w:bCs w:val="false"/>
                <w:sz w:val="20"/>
                <w:szCs w:val="20"/>
              </w:rPr>
              <w:t xml:space="preserve">Konsumverhalten </w:t>
            </w:r>
            <w:r>
              <w:rPr>
                <w:b/>
                <w:bCs/>
                <w:sz w:val="20"/>
                <w:szCs w:val="20"/>
              </w:rPr>
              <w:t xml:space="preserve">kritisch reflektieren</w:t>
            </w:r>
            <w:r>
              <w:rPr>
                <w:b w:val="false"/>
                <w:bCs w:val="false"/>
                <w:sz w:val="20"/>
                <w:szCs w:val="20"/>
              </w:rPr>
              <w:t xml:space="preserve"> (1.3.3)</w:t>
            </w:r>
          </w:p>
        </w:tc>
        <w:tc>
          <w:tcPr>
            <w:tcMar>
              <w:top w:type="dxa" w:w="70"/>
              <w:left w:type="dxa" w:w="120"/>
              <w:bottom w:type="dxa" w:w="70"/>
              <w:right w:type="dxa" w:w="120"/>
            </w:tcMar>
          </w:tcPr>
          <w:p>
            <w:pPr>
              <w:spacing w:after="0" w:before="0"/>
            </w:pPr>
            <w:r>
              <w:rPr>
                <w:b w:val="false"/>
                <w:bCs w:val="false"/>
                <w:sz w:val="20"/>
                <w:szCs w:val="20"/>
              </w:rPr>
              <w:t xml:space="preserve">mitlaufend: LF2 und Abschluss</w:t>
            </w:r>
          </w:p>
        </w:tc>
      </w:tr>
    </w:tbl>
    <w:p>
      <w:pPr>
        <w:spacing w:after="0" w:before="0"/>
      </w:pPr>
      <w:r>
        <w:rPr>
          <w:sz w:val="8"/>
          <w:szCs w:val="8"/>
        </w:rPr>
        <w:t xml:space="preserve"/>
      </w:r>
    </w:p>
    <w:p>
      <w:pPr>
        <w:spacing w:after="100" w:before="60" w:line="320"/>
      </w:pPr>
      <w:r>
        <w:rPr>
          <w:b/>
          <w:bCs/>
        </w:rPr>
        <w:t xml:space="preserve">Die Situation</w:t>
      </w:r>
    </w:p>
    <w:p>
      <w:r>
        <w:rPr>
          <w:color w:val="7A7A7A"/>
          <w:sz w:val="20"/>
          <w:szCs w:val="20"/>
        </w:rPr>
        <w:t xml:space="preserve">
</w:t>
      </w:r>
    </w:p>
    <w:tbl>
      <w:tblPr>
        <w:tblW w:type="pct" w:w="100%"/>
        <w:tblBorders>
          <w:top w:val="none" w:color="FFFFFF" w:sz="0"/>
          <w:left w:val="single" w:color="4A4A4A" w:sz="18"/>
          <w:bottom w:val="none" w:color="FFFFFF" w:sz="0"/>
          <w:right w:val="none" w:color="FFFFFF" w:sz="0"/>
          <w:insideH w:val="none" w:color="FFFFFF" w:sz="0"/>
          <w:insideV w:val="none" w:color="FFFFFF" w:sz="0"/>
        </w:tblBorders>
        <w:tblLayout w:type="fixed"/>
      </w:tblPr>
      <w:tblGrid>
        <w:gridCol w:w="100"/>
      </w:tblGrid>
      <w:tr>
        <w:tc>
          <w:tcPr>
            <w:shd w:fill="F7F6F1" w:color="auto" w:val="clear"/>
            <w:tcMar>
              <w:top w:type="dxa" w:w="120"/>
              <w:left w:type="dxa" w:w="220"/>
              <w:bottom w:type="dxa" w:w="120"/>
              <w:right w:type="dxa" w:w="180"/>
            </w:tcMar>
          </w:tcPr>
          <w:p>
            <w:pPr>
              <w:spacing w:after="100" w:before="60" w:line="320"/>
            </w:pPr>
            <w:r>
              <w:t xml:space="preserve">Ich bin im 1. Lehrjahr. Mein Lohn kommt einmal im Monat, und rund um den 20. ist das Konto leer. Jeden Monat gehen 130 Franken für Abos weg: Handy, Streaming und das Fitness, das ich im Januar für ein Jahr unterschrieben habe und kaum nutze. Letzten Monat habe ich Sneakers für 180 Franken auf Rechnung bestellt. Heute kam die erste Mahnung, mit 20 Franken Gebühr. Wohin der Rest meines Geldes geht, weiss ich nicht genau; ich schreibe nichts auf. Eine Kollegin aus dem Betrieb kommt mit weniger Lohn über die Runden und bietet an, am Freitag mein Budget mit mir durchzugehen. Bis dahin will ich ein realistisches Budget haben, wissen, wie ich aus der Rechnung herauskomme, und meine Anpassungen begründen können.</w:t>
            </w:r>
          </w:p>
        </w:tc>
      </w:tr>
    </w:tbl>
    <w:p>
      <w:pPr>
        <w:spacing w:after="0" w:before="0"/>
      </w:pPr>
      <w:r>
        <w:rPr>
          <w:sz w:val="8"/>
          <w:szCs w:val="8"/>
        </w:rPr>
        <w:t xml:space="preserve"/>
      </w:r>
    </w:p>
    <w:p>
      <w:r>
        <w:rPr>
          <w:color w:val="7A7A7A"/>
          <w:sz w:val="20"/>
          <w:szCs w:val="20"/>
        </w:rPr>
        <w:t xml:space="preserve"/>
      </w:r>
    </w:p>
    <w:p>
      <w:pPr>
        <w:spacing w:after="100" w:before="60" w:line="320"/>
      </w:pPr>
      <w:r>
        <w:rPr>
          <w:b/>
          <w:bCs/>
        </w:rPr>
        <w:t xml:space="preserve">Leitfrage:</w:t>
      </w:r>
      <w:r>
        <w:t xml:space="preserve"> «</w:t>
      </w:r>
      <w:r>
        <w:t xml:space="preserve"/>
      </w:r>
      <w:r>
        <w:t xml:space="preserve">Wie plane ich mein Geld so, dass es bis Monatsende reicht und ich nicht in Schulden rutsche — und wie begründe ich meine Anpassungen?</w:t>
      </w:r>
      <w:r>
        <w:t xml:space="preserve"/>
      </w:r>
      <w:r>
        <w:t xml:space="preserve">»</w:t>
      </w:r>
    </w:p>
    <w:tbl>
      <w:tblPr>
        <w:tblW w:type="pct" w:w="100%"/>
        <w:tblBorders>
          <w:top w:val="single" w:color="DCDCDC" w:sz="4"/>
          <w:left w:val="single" w:color="DCDCDC" w:sz="4"/>
          <w:bottom w:val="single" w:color="DCDCDC" w:sz="4"/>
          <w:right w:val="single" w:color="DCDCDC" w:sz="4"/>
          <w:insideH w:val="single" w:color="DCDCDC" w:sz="4"/>
          <w:insideV w:val="single" w:color="DCDCDC" w:sz="4"/>
        </w:tblBorders>
        <w:tblLayout w:type="fixed"/>
      </w:tblPr>
      <w:tblGrid>
        <w:gridCol w:w="100"/>
        <w:gridCol w:w="100"/>
      </w:tblGrid>
      <w:tr>
        <w:trPr>
          <w:tblHeader/>
        </w:trPr>
        <w:tc>
          <w:tcPr>
            <w:shd w:fill="1A1A1A" w:color="auto" w:val="clear"/>
            <w:tcMar>
              <w:top w:type="dxa" w:w="80"/>
              <w:left w:type="dxa" w:w="120"/>
              <w:bottom w:type="dxa" w:w="80"/>
              <w:right w:type="dxa" w:w="120"/>
            </w:tcMar>
          </w:tcPr>
          <w:p>
            <w:pPr>
              <w:spacing w:after="0" w:before="0"/>
            </w:pPr>
            <w:r>
              <w:rPr>
                <w:b/>
                <w:bCs/>
                <w:color w:val="FFFFFF"/>
                <w:sz w:val="19"/>
                <w:szCs w:val="19"/>
              </w:rPr>
              <w:t xml:space="preserve">Zahl</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Wert</w:t>
            </w:r>
          </w:p>
        </w:tc>
      </w:tr>
      <w:tr>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Nettolohn pro Monat (ca.)</w:t>
            </w:r>
            <w:r>
              <w:rPr>
                <w:b w:val="false"/>
                <w:bCs w:val="false"/>
                <w:sz w:val="20"/>
                <w:szCs w:val="20"/>
              </w:rPr>
              <w:t xml:space="preserve"/>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CHF 800</w:t>
            </w:r>
            <w:r>
              <w:rPr>
                <w:b w:val="false"/>
                <w:bCs w:val="false"/>
                <w:sz w:val="20"/>
                <w:szCs w:val="20"/>
              </w:rPr>
              <w:t xml:space="preserve"/>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Abos (Handy 45, Streaming 20, Fitness 65)</w:t>
            </w:r>
            <w:r>
              <w:rPr>
                <w:b w:val="false"/>
                <w:bCs w:val="false"/>
                <w:sz w:val="20"/>
                <w:szCs w:val="20"/>
              </w:rPr>
              <w:t xml:space="preserve"/>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CHF 130</w:t>
            </w:r>
            <w:r>
              <w:rPr>
                <w:b w:val="false"/>
                <w:bCs w:val="false"/>
                <w:sz w:val="20"/>
                <w:szCs w:val="20"/>
              </w:rPr>
              <w:t xml:space="preserve"/>
            </w:r>
          </w:p>
        </w:tc>
      </w:tr>
      <w:tr>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Offene Rechnung Sneakers + Mahngebühr</w:t>
            </w:r>
            <w:r>
              <w:rPr>
                <w:b w:val="false"/>
                <w:bCs w:val="false"/>
                <w:sz w:val="20"/>
                <w:szCs w:val="20"/>
              </w:rPr>
              <w:t xml:space="preserve"/>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CHF 200</w:t>
            </w:r>
            <w:r>
              <w:rPr>
                <w:b w:val="false"/>
                <w:bCs w:val="false"/>
                <w:sz w:val="20"/>
                <w:szCs w:val="20"/>
              </w:rPr>
              <w:t xml:space="preserve"/>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Konto leer ab</w:t>
            </w:r>
            <w:r>
              <w:rPr>
                <w:b w:val="false"/>
                <w:bCs w:val="false"/>
                <w:sz w:val="20"/>
                <w:szCs w:val="20"/>
              </w:rPr>
              <w:t xml:space="preserve"/>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ca. 20.</w:t>
            </w:r>
            <w:r>
              <w:rPr>
                <w:b w:val="false"/>
                <w:bCs w:val="false"/>
                <w:sz w:val="20"/>
                <w:szCs w:val="20"/>
              </w:rPr>
              <w:t xml:space="preserve"/>
            </w:r>
          </w:p>
        </w:tc>
      </w:tr>
    </w:tbl>
    <w:p>
      <w:pPr>
        <w:spacing w:after="0" w:before="0"/>
      </w:pPr>
      <w:r>
        <w:rPr>
          <w:sz w:val="8"/>
          <w:szCs w:val="8"/>
        </w:rPr>
        <w:t xml:space="preserve"/>
      </w:r>
    </w:p>
    <w:tbl>
      <w:tblPr>
        <w:tblW w:type="pct" w:w="100%"/>
        <w:tblBorders>
          <w:top w:val="none" w:color="FFFFFF" w:sz="0"/>
          <w:left w:val="single" w:color="2A548C" w:sz="18"/>
          <w:bottom w:val="none" w:color="FFFFFF" w:sz="0"/>
          <w:right w:val="none" w:color="FFFFFF" w:sz="0"/>
          <w:insideH w:val="none" w:color="FFFFFF" w:sz="0"/>
          <w:insideV w:val="none" w:color="FFFFFF" w:sz="0"/>
        </w:tblBorders>
        <w:tblLayout w:type="fixed"/>
      </w:tblPr>
      <w:tblGrid>
        <w:gridCol w:w="100"/>
      </w:tblGrid>
      <w:tr>
        <w:tc>
          <w:tcPr>
            <w:shd w:fill="E8EEF7"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2A548C"/>
                <w:spacing w:val="12"/>
                <w:sz w:val="18"/>
                <w:szCs w:val="18"/>
              </w:rPr>
              <w:t xml:space="preserve">HINWEIS  ·  WAS DIE SITUATION TRÄGT</w:t>
            </w:r>
          </w:p>
          <w:p>
            <w:pPr>
              <w:spacing w:after="100" w:before="60" w:line="320"/>
            </w:pPr>
            <w:r>
              <w:t xml:space="preserve">Authentisch (Konto leer vor Monatsende) · verortet (eigener Lohn, eigene Abos) · echtes Problem (Engpass, gemahnte Rechnung) · affektiv (Vergleich mit der Kollegin) · kognitiv (Budget rechnen) · aktiv (Budget und Gespräch) · passend fürs 1. Lehrjahr. Die Zahlen kommen aus dem eigenen Monat; Schätzungen genügen, wo die Abrechnung fehlt.</w:t>
            </w:r>
          </w:p>
        </w:tc>
      </w:tr>
    </w:tbl>
    <w:p>
      <w:pPr>
        <w:spacing w:after="0" w:before="0"/>
      </w:pPr>
      <w:r>
        <w:rPr>
          <w:sz w:val="8"/>
          <w:szCs w:val="8"/>
        </w:rPr>
        <w:t xml:space="preserve"/>
      </w:r>
    </w:p>
    <w:p>
      <w:pPr>
        <w:pStyle w:val="Heading3"/>
        <w:keepNext/>
        <w:spacing w:after="80" w:before="280"/>
      </w:pPr>
      <w:r>
        <w:rPr>
          <w:rFonts w:ascii="Source Serif 4" w:cs="Source Serif 4" w:eastAsia="Source Serif 4" w:hAnsi="Source Serif 4"/>
          <w:b/>
          <w:bCs/>
          <w:color w:val="1A1A1A"/>
          <w:sz w:val="26"/>
          <w:szCs w:val="26"/>
        </w:rPr>
        <w:t xml:space="preserve">Produkt: </w:t>
      </w:r>
      <w:r>
        <w:rPr>
          <w:rFonts w:ascii="Source Serif 4" w:cs="Source Serif 4" w:eastAsia="Source Serif 4" w:hAnsi="Source Serif 4"/>
          <w:b/>
          <w:bCs/>
          <w:color w:val="1A1A1A"/>
          <w:sz w:val="26"/>
          <w:szCs w:val="26"/>
        </w:rPr>
        <w:t xml:space="preserve"/>
      </w:r>
      <w:r>
        <w:rPr>
          <w:rFonts w:ascii="Source Serif 4" w:cs="Source Serif 4" w:eastAsia="Source Serif 4" w:hAnsi="Source Serif 4"/>
          <w:b/>
          <w:bCs/>
          <w:color w:val="1A1A1A"/>
          <w:sz w:val="26"/>
          <w:szCs w:val="26"/>
        </w:rPr>
        <w:t xml:space="preserve">Mein Budget, meine Regeln, mein Budgetgespräch</w:t>
      </w:r>
      <w:r>
        <w:rPr>
          <w:rFonts w:ascii="Source Serif 4" w:cs="Source Serif 4" w:eastAsia="Source Serif 4" w:hAnsi="Source Serif 4"/>
          <w:b/>
          <w:bCs/>
          <w:color w:val="1A1A1A"/>
          <w:sz w:val="26"/>
          <w:szCs w:val="26"/>
        </w:rPr>
        <w:t xml:space="preserve"/>
      </w:r>
    </w:p>
    <w:p>
      <w:pPr>
        <w:spacing w:after="100" w:before="60" w:line="320"/>
      </w:pPr>
      <w:r>
        <w:rPr>
          <w:b/>
          <w:bCs/>
        </w:rPr>
        <w:t xml:space="preserve">Format:</w:t>
      </w:r>
      <w:r>
        <w:t xml:space="preserve"> </w:t>
      </w:r>
      <w:r>
        <w:t xml:space="preserve"/>
      </w:r>
      <w:r>
        <w:t xml:space="preserve">Ein ausgefülltes Monatsbudget mit Saldo vor und nach den Anpassungen, zwei Schutzregeln gegen Schulden und ein Budgetgespräch von 3–4 Minuten zu zweit: Ihr Gegenüber spielt die Kollegin.</w:t>
      </w:r>
      <w:r>
        <w:t xml:space="preserve"/>
      </w:r>
    </w:p>
    <w:p>
      <w:pPr>
        <w:spacing w:after="100" w:before="60" w:line="320"/>
      </w:pPr>
      <w:r>
        <w:t xml:space="preserve">Die fünf Schritte auf S. 5:</w:t>
      </w:r>
    </w:p>
    <w:p>
      <w:pPr>
        <w:pStyle w:val="ListParagraph"/>
        <w:numPr>
          <w:ilvl w:val="0"/>
          <w:numId w:val="2"/>
        </w:numPr>
        <w:spacing w:after="30" w:before="30" w:line="300"/>
        <w:ind w:left="280" w:hanging="280"/>
      </w:pPr>
      <w:r>
        <w:t xml:space="preserve">Schritt </w:t>
      </w:r>
      <w:r>
        <w:t xml:space="preserve"/>
      </w:r>
      <w:r>
        <w:t xml:space="preserve">01 Budget aufstellen</w:t>
      </w:r>
      <w:r>
        <w:t xml:space="preserve"/>
      </w:r>
      <w:r>
        <w:t xml:space="preserve">: </w:t>
      </w:r>
      <w:r>
        <w:t xml:space="preserve"/>
      </w:r>
      <w:r>
        <w:t xml:space="preserve">Gliedern Sie Ihr Budget aus LF2 nach den drei Kostenarten aus LF1 und schreiben Sie den Saldo darunter.</w:t>
      </w:r>
      <w:r>
        <w:t xml:space="preserve"/>
      </w:r>
    </w:p>
    <w:p>
      <w:pPr>
        <w:pStyle w:val="ListParagraph"/>
        <w:numPr>
          <w:ilvl w:val="0"/>
          <w:numId w:val="2"/>
        </w:numPr>
        <w:spacing w:after="30" w:before="30" w:line="300"/>
        <w:ind w:left="280" w:hanging="280"/>
      </w:pPr>
      <w:r>
        <w:t xml:space="preserve">Schritt </w:t>
      </w:r>
      <w:r>
        <w:t xml:space="preserve"/>
      </w:r>
      <w:r>
        <w:t xml:space="preserve">02 Engpass markieren</w:t>
      </w:r>
      <w:r>
        <w:t xml:space="preserve"/>
      </w:r>
      <w:r>
        <w:t xml:space="preserve">: </w:t>
      </w:r>
      <w:r>
        <w:t xml:space="preserve"/>
      </w:r>
      <w:r>
        <w:t xml:space="preserve">Markieren Sie in Ihrem Budget aus LF2 die Posten, bei denen es knapp wird.</w:t>
      </w:r>
      <w:r>
        <w:t xml:space="preserve"/>
      </w:r>
    </w:p>
    <w:p>
      <w:pPr>
        <w:pStyle w:val="ListParagraph"/>
        <w:numPr>
          <w:ilvl w:val="0"/>
          <w:numId w:val="2"/>
        </w:numPr>
        <w:spacing w:after="30" w:before="30" w:line="300"/>
        <w:ind w:left="280" w:hanging="280"/>
      </w:pPr>
      <w:r>
        <w:t xml:space="preserve">Schritt </w:t>
      </w:r>
      <w:r>
        <w:t xml:space="preserve"/>
      </w:r>
      <w:r>
        <w:t xml:space="preserve">03 Risiken belegen</w:t>
      </w:r>
      <w:r>
        <w:t xml:space="preserve"/>
      </w:r>
      <w:r>
        <w:t xml:space="preserve">: </w:t>
      </w:r>
      <w:r>
        <w:t xml:space="preserve"/>
      </w:r>
      <w:r>
        <w:t xml:space="preserve">Markieren Sie mit dem Raster aus LF3 die Posten, die zu Schulden führen können.</w:t>
      </w:r>
      <w:r>
        <w:t xml:space="preserve"/>
      </w:r>
    </w:p>
    <w:p>
      <w:pPr>
        <w:pStyle w:val="ListParagraph"/>
        <w:numPr>
          <w:ilvl w:val="0"/>
          <w:numId w:val="2"/>
        </w:numPr>
        <w:spacing w:after="30" w:before="30" w:line="300"/>
        <w:ind w:left="280" w:hanging="280"/>
      </w:pPr>
      <w:r>
        <w:t xml:space="preserve">Schritt </w:t>
      </w:r>
      <w:r>
        <w:t xml:space="preserve"/>
      </w:r>
      <w:r>
        <w:t xml:space="preserve">04 Anpassen und Regeln setzen</w:t>
      </w:r>
      <w:r>
        <w:t xml:space="preserve"/>
      </w:r>
      <w:r>
        <w:t xml:space="preserve">: </w:t>
      </w:r>
      <w:r>
        <w:t xml:space="preserve"/>
      </w:r>
      <w:r>
        <w:t xml:space="preserve">Tragen Sie Anpassungen (je mit Grund) und Schutzregeln aus LF4 ein; die Regeln setzen bei den Posten aus Schritt 03 an. Neuen Saldo rechnen.</w:t>
      </w:r>
      <w:r>
        <w:t xml:space="preserve"/>
      </w:r>
    </w:p>
    <w:p>
      <w:pPr>
        <w:pStyle w:val="ListParagraph"/>
        <w:numPr>
          <w:ilvl w:val="0"/>
          <w:numId w:val="2"/>
        </w:numPr>
        <w:spacing w:after="30" w:before="30" w:line="300"/>
        <w:ind w:left="280" w:hanging="280"/>
      </w:pPr>
      <w:r>
        <w:t xml:space="preserve">Schritt </w:t>
      </w:r>
      <w:r>
        <w:t xml:space="preserve"/>
      </w:r>
      <w:r>
        <w:t xml:space="preserve">05 Gespräch führen</w:t>
      </w:r>
      <w:r>
        <w:t xml:space="preserve"/>
      </w:r>
      <w:r>
        <w:t xml:space="preserve">: </w:t>
      </w:r>
      <w:r>
        <w:t xml:space="preserve"/>
      </w:r>
      <w:r>
        <w:t xml:space="preserve">Führen Sie das Budgetgespräch zu zweit: drei Argumente, eine Rückfrage, Ihre Antwort auf den Einwand.</w:t>
      </w:r>
      <w:r>
        <w:t xml:space="preserve"/>
      </w:r>
    </w:p>
    <w:p>
      <w:pPr>
        <w:spacing w:after="100" w:before="60" w:line="320"/>
      </w:pPr>
      <w:r>
        <w:rPr>
          <w:b/>
          <w:bCs/>
        </w:rPr>
        <w:t xml:space="preserve">Abgaben</w:t>
      </w:r>
    </w:p>
    <w:p>
      <w:r>
        <w:rPr>
          <w:color w:val="7A7A7A"/>
          <w:sz w:val="20"/>
          <w:szCs w:val="20"/>
        </w:rPr>
        <w:t xml:space="preserve">
</w:t>
      </w:r>
    </w:p>
    <w:p>
      <w:pPr>
        <w:pStyle w:val="ListParagraph"/>
        <w:numPr>
          <w:ilvl w:val="0"/>
          <w:numId w:val="2"/>
        </w:numPr>
        <w:spacing w:after="30" w:before="30" w:line="300"/>
        <w:ind w:left="280" w:hanging="280"/>
      </w:pPr>
      <w:r>
        <w:t xml:space="preserve">Monatsbudget mit Saldo vor und nach den Anpassungen</w:t>
      </w:r>
    </w:p>
    <w:p>
      <w:pPr>
        <w:pStyle w:val="ListParagraph"/>
        <w:numPr>
          <w:ilvl w:val="0"/>
          <w:numId w:val="2"/>
        </w:numPr>
        <w:spacing w:after="30" w:before="30" w:line="300"/>
        <w:ind w:left="280" w:hanging="280"/>
      </w:pPr>
      <w:r>
        <w:t xml:space="preserve">2–3 Anpassungen (eine für die offene Rechnung) und 2 Schutzregeln (Wenn-dann)</w:t>
      </w:r>
    </w:p>
    <w:p>
      <w:pPr>
        <w:pStyle w:val="ListParagraph"/>
        <w:numPr>
          <w:ilvl w:val="0"/>
          <w:numId w:val="2"/>
        </w:numPr>
        <w:spacing w:after="30" w:before="30" w:line="300"/>
        <w:ind w:left="280" w:hanging="280"/>
      </w:pPr>
      <w:r>
        <w:t xml:space="preserve">Gesprächsnotiz: 3 Argumente, 1 Rückfrage, Antwort auf den Einwand</w:t>
      </w:r>
    </w:p>
    <w:p>
      <w:r>
        <w:rPr>
          <w:color w:val="7A7A7A"/>
          <w:sz w:val="20"/>
          <w:szCs w:val="20"/>
        </w:rPr>
        <w:t xml:space="preserve"/>
      </w:r>
    </w:p>
    <w:p>
      <w:pPr>
        <w:pStyle w:val="Heading3"/>
        <w:keepNext/>
        <w:spacing w:after="80" w:before="280"/>
      </w:pPr>
      <w:r>
        <w:rPr>
          <w:rFonts w:ascii="Source Serif 4" w:cs="Source Serif 4" w:eastAsia="Source Serif 4" w:hAnsi="Source Serif 4"/>
          <w:b/>
          <w:bCs/>
          <w:color w:val="1A1A1A"/>
          <w:sz w:val="26"/>
          <w:szCs w:val="26"/>
        </w:rPr>
        <w:t xml:space="preserve">Hinweise zu jeder Seite</w:t>
      </w:r>
    </w:p>
    <w:p>
      <w:pPr>
        <w:spacing w:after="100" w:before="60" w:line="320"/>
      </w:pPr>
      <w:r>
        <w:rPr>
          <w:b/>
          <w:bCs/>
        </w:rPr>
        <w:t xml:space="preserve">S. 1 — Herausforderung (8 Min.).</w:t>
      </w:r>
      <w:r>
        <w:t xml:space="preserve"> Die Zahlen sind nachrechenbar: Die Abos ergeben 45 + 20 + 65 = 130 Franken, die offene Rechnung 180 Franken plus 20 Franken Mahngebühr = 200 Franken. Offene Fragen markieren lassen — der Quer-Check auf S. 8 nimmt sie wieder auf. In der Medien-Spur steht hier der Kurzeintrag der Quelle (die Statistik 2025 der Schuldenberatung Schweiz, Seite 7); der QR-Code steht auf S. 3.</w:t>
      </w:r>
    </w:p>
    <w:p>
      <w:pPr>
        <w:spacing w:after="100" w:before="60" w:line="320"/>
      </w:pPr>
      <w:r>
        <w:rPr>
          <w:b/>
          <w:bCs/>
        </w:rPr>
        <w:t xml:space="preserve">S. 2 — Wissensecke I (27 Min.).</w:t>
      </w:r>
      <w:r>
        <w:t xml:space="preserve"> LF1 (Verstehen) klärt die drei Kostenarten (fix, variabel, Rückstellungen) und den Begriff Schuldenspirale (Kap. 2.2, S. 48); LF2 (Anwenden) sammelt die Zahlen für das eigene Monatsbudget — Einnahmen, Ausgaben nach den drei Kostenarten, Abos, offene Rechnung —, berechnet den Saldo und fragt, </w:t>
      </w:r>
      <w:r>
        <w:rPr>
          <w:b/>
          <w:bCs/>
        </w:rPr>
        <w:t xml:space="preserve">bei welchen Posten</w:t>
      </w:r>
      <w:r>
        <w:t xml:space="preserve"> es knapp wird. Das saubere Budget entsteht erst auf S. 7.</w:t>
      </w:r>
    </w:p>
    <w:tbl>
      <w:tblPr>
        <w:tblW w:type="pct" w:w="100%"/>
        <w:tblBorders>
          <w:top w:val="single" w:color="A07A14" w:sz="8"/>
          <w:left w:val="single" w:color="A07A14" w:sz="40"/>
          <w:bottom w:val="single" w:color="A07A14" w:sz="8"/>
          <w:right w:val="single" w:color="A07A14" w:sz="8"/>
          <w:insideH w:val="none" w:color="FFFFFF" w:sz="0"/>
          <w:insideV w:val="none" w:color="FFFFFF" w:sz="0"/>
        </w:tblBorders>
        <w:tblLayout w:type="fixed"/>
      </w:tblPr>
      <w:tblGrid>
        <w:gridCol w:w="100"/>
      </w:tblGrid>
      <w:tr>
        <w:tc>
          <w:tcPr>
            <w:shd w:fill="A07A14" w:color="auto" w:val="clear"/>
            <w:tcMar>
              <w:top w:type="dxa" w:w="70"/>
              <w:left w:type="dxa" w:w="220"/>
              <w:bottom w:type="dxa" w:w="70"/>
              <w:right w:type="dxa" w:w="180"/>
            </w:tcMar>
          </w:tcPr>
          <w:p>
            <w:pPr>
              <w:spacing w:after="0" w:before="0"/>
            </w:pPr>
            <w:r>
              <w:rPr>
                <w:rFonts w:ascii="Source Sans 3" w:cs="Source Sans 3" w:eastAsia="Source Sans 3" w:hAnsi="Source Sans 3"/>
                <w:b/>
                <w:bCs/>
                <w:color w:val="FFFFFF"/>
                <w:spacing w:val="16"/>
                <w:sz w:val="21"/>
                <w:szCs w:val="21"/>
              </w:rPr>
              <w:t xml:space="preserve">COACHING-MOVE  ·  LF1 UND LF2</w:t>
            </w:r>
          </w:p>
        </w:tc>
      </w:tr>
      <w:tr>
        <w:tc>
          <w:tcPr>
            <w:shd w:fill="FDF5E1" w:color="auto" w:val="clear"/>
            <w:tcMar>
              <w:top w:type="dxa" w:w="150"/>
              <w:left w:type="dxa" w:w="220"/>
              <w:bottom w:type="dxa" w:w="150"/>
              <w:right w:type="dxa" w:w="180"/>
            </w:tcMar>
          </w:tcPr>
          <w:p>
            <w:pPr>
              <w:spacing w:after="100" w:before="60" w:line="320"/>
            </w:pPr>
            <w:r>
              <w:t xml:space="preserve">Bestehe in LF2 auf realistischen Zahlen. Runde Fantasiezahlen zurückweisen: «Was zahlst du wirklich fürs Handy?» Wer seine echten Zahlen nicht zeigen will, darf schätzen — das Heft erlaubt geschätzte Zahlen ausdrücklich. Für die Einnahmenzeile hilft eine echte, anonymisierte Lohnabrechnung als Anschauung (Kap. 2.1).</w:t>
            </w:r>
          </w:p>
        </w:tc>
      </w:tr>
    </w:tbl>
    <w:p>
      <w:pPr>
        <w:spacing w:after="0" w:before="0"/>
      </w:pPr>
      <w:r>
        <w:rPr>
          <w:sz w:val="8"/>
          <w:szCs w:val="8"/>
        </w:rPr>
        <w:t xml:space="preserve"/>
      </w:r>
    </w:p>
    <w:p>
      <w:pPr>
        <w:spacing w:after="100" w:before="60" w:line="320"/>
      </w:pPr>
      <w:r>
        <w:rPr>
          <w:b/>
          <w:bCs/>
        </w:rPr>
        <w:t xml:space="preserve">S. 3 — Quelle (25 Min.).</w:t>
      </w:r>
    </w:p>
    <w:p>
      <w:pPr>
        <w:pStyle w:val="ListParagraph"/>
        <w:numPr>
          <w:ilvl w:val="0"/>
          <w:numId w:val="2"/>
        </w:numPr>
        <w:spacing w:after="30" w:before="30" w:line="300"/>
        <w:ind w:left="280" w:hanging="280"/>
      </w:pPr>
      <w:r>
        <w:rPr>
          <w:i/>
          <w:iCs/>
        </w:rPr>
        <w:t xml:space="preserve">Spur ohne Medien:</w:t>
      </w:r>
      <w:r>
        <w:t xml:space="preserve"> Lehrmittel Kap. 8.2, S. 199–200. Die erste Rasterzeile ist das Beispiel («Mehr ausgeben als haben»); gesucht sind </w:t>
      </w:r>
      <w:r>
        <w:rPr>
          <w:b/>
          <w:bCs/>
        </w:rPr>
        <w:t xml:space="preserve">drei weitere</w:t>
      </w:r>
      <w:r>
        <w:t xml:space="preserve"> Aussagen zu Ursachen oder Folgen von Verschuldung. Die Mahnung selbst kommt in Kap. 8.2 nicht vor — sie steht beim Zahlungsverzug (Kap. 2.4, S. 62).</w:t>
      </w:r>
    </w:p>
    <w:p>
      <w:pPr>
        <w:pStyle w:val="ListParagraph"/>
        <w:numPr>
          <w:ilvl w:val="0"/>
          <w:numId w:val="2"/>
        </w:numPr>
        <w:spacing w:after="30" w:before="30" w:line="300"/>
        <w:ind w:left="280" w:hanging="280"/>
      </w:pPr>
      <w:r>
        <w:rPr>
          <w:i/>
          <w:iCs/>
        </w:rPr>
        <w:t xml:space="preserve">Spur mit Medien:</w:t>
      </w:r>
      <w:r>
        <w:t xml:space="preserve"> Quelle ist die Statistik 2025 der Schuldenberatung Schweiz, </w:t>
      </w:r>
      <w:r>
        <w:rPr>
          <w:b/>
          <w:bCs/>
        </w:rPr>
        <w:t xml:space="preserve">Seite 7</w:t>
      </w:r>
      <w:r>
        <w:t xml:space="preserve">: «Gründe für die Überschuldung» und «Dauer der Verschuldung» (114 Wörter). Die Lernenden tragen vier Werte mit Aussage ein, die zeigen, wie Menschen in der Schweiz in Schulden geraten oder wie lange sie darin bleiben; LF3 fragt danach, welcher Grund sich schon im eigenen Budget zeigt. Die Methodenkarte «Eine Grafik lesen» ersetzt hier das Raster-Werkzeug. Lass zuerst die Titel genau lesen: Wer wird gezählt, und für welches Jahr gilt der Wert? Die Seiten 8–9 desselben PDF behandeln Gläubigerarten und gehören nicht zum Auftrag.</w:t>
      </w:r>
    </w:p>
    <w:p>
      <w:pPr>
        <w:spacing w:after="100" w:before="60" w:line="320"/>
      </w:pPr>
      <w:r>
        <w:rPr>
          <w:b/>
          <w:bCs/>
        </w:rPr>
        <w:t xml:space="preserve">S. 4 — Wissensecke II (15 Min.).</w:t>
      </w:r>
      <w:r>
        <w:t xml:space="preserve"> LF4 verlangt zwei bis drei Anpassungen, zwei Schutzregeln als Wenn-dann-Satz und eine Antwort auf den stärksten Einwand. Die Aufgabe ist in beiden Spuren wortgleich.</w:t>
      </w:r>
    </w:p>
    <w:p>
      <w:pPr>
        <w:pStyle w:val="ListParagraph"/>
        <w:numPr>
          <w:ilvl w:val="0"/>
          <w:numId w:val="2"/>
        </w:numPr>
        <w:spacing w:after="30" w:before="30" w:line="300"/>
        <w:ind w:left="280" w:hanging="280"/>
      </w:pPr>
      <w:r>
        <w:rPr>
          <w:i/>
          <w:iCs/>
        </w:rPr>
        <w:t xml:space="preserve">Spur ohne Medien:</w:t>
      </w:r>
      <w:r>
        <w:t xml:space="preserve"> Die Denkhilfe (Meine Anpassung · Stärkster Einwand · Meine Antwort) wird vor dem Schreiben ausgefüllt. Die Antwort darf auch lauten: Der Einwand stimmt, ich ändere die Anpassung.</w:t>
      </w:r>
    </w:p>
    <w:p>
      <w:pPr>
        <w:pStyle w:val="ListParagraph"/>
        <w:numPr>
          <w:ilvl w:val="0"/>
          <w:numId w:val="2"/>
        </w:numPr>
        <w:spacing w:after="30" w:before="30" w:line="300"/>
        <w:ind w:left="280" w:hanging="280"/>
      </w:pPr>
      <w:r>
        <w:rPr>
          <w:i/>
          <w:iCs/>
        </w:rPr>
        <w:t xml:space="preserve">Spur mit Medien:</w:t>
      </w:r>
      <w:r>
        <w:t xml:space="preserve"> Der Kasten «Vertiefung» bietet einen Radiobeitrag (Mundart) und eine amtliche Seite zum Ablauf einer Betreibung — beides freiwillig.</w:t>
      </w:r>
    </w:p>
    <w:tbl>
      <w:tblPr>
        <w:tblW w:type="pct" w:w="100%"/>
        <w:tblBorders>
          <w:top w:val="none" w:color="FFFFFF" w:sz="0"/>
          <w:left w:val="single" w:color="A12061" w:sz="18"/>
          <w:bottom w:val="none" w:color="FFFFFF" w:sz="0"/>
          <w:right w:val="none" w:color="FFFFFF" w:sz="0"/>
          <w:insideH w:val="none" w:color="FFFFFF" w:sz="0"/>
          <w:insideV w:val="none" w:color="FFFFFF" w:sz="0"/>
        </w:tblBorders>
        <w:tblLayout w:type="fixed"/>
      </w:tblPr>
      <w:tblGrid>
        <w:gridCol w:w="100"/>
      </w:tblGrid>
      <w:tr>
        <w:tc>
          <w:tcPr>
            <w:shd w:fill="FBE7F1"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A12061"/>
                <w:spacing w:val="12"/>
                <w:sz w:val="18"/>
                <w:szCs w:val="18"/>
              </w:rPr>
              <w:t xml:space="preserve">ERWARTUNGSHORIZONT  ·  VERTIEFUNG 1 (SPUR MIT MEDIEN, AUDIO 00:04–03:10) — JUNGE LEUTE UND SCHULDEN</w:t>
            </w:r>
          </w:p>
          <w:p>
            <w:pPr>
              <w:spacing w:after="100" w:before="60" w:line="320"/>
            </w:pPr>
            <w:r>
              <w:t xml:space="preserve">Gründe: Druck durch soziale Medien (man sieht, was andere kaufen, und will mithalten), Konsumgesellschaft und steigende Preise, der Umgang mit Geld wird zu Hause nicht immer gelernt. Hilfe: Der Verein will Junge früh an bestehende Stellen verweisen und arbeitet mit Unterlagen für Schulen, Gemeinden und Lehrbetriebe sowie mit Berichten von Betroffenen.
Eine konkrete Anlaufstelle nennt der Ausschnitt nicht. Der Beitrag ist in Mundart.</w:t>
            </w:r>
          </w:p>
        </w:tc>
      </w:tr>
    </w:tbl>
    <w:p>
      <w:pPr>
        <w:spacing w:after="0" w:before="0"/>
      </w:pPr>
      <w:r>
        <w:rPr>
          <w:sz w:val="8"/>
          <w:szCs w:val="8"/>
        </w:rPr>
        <w:t xml:space="preserve"/>
      </w:r>
    </w:p>
    <w:tbl>
      <w:tblPr>
        <w:tblW w:type="pct" w:w="100%"/>
        <w:tblBorders>
          <w:top w:val="none" w:color="FFFFFF" w:sz="0"/>
          <w:left w:val="single" w:color="A12061" w:sz="18"/>
          <w:bottom w:val="none" w:color="FFFFFF" w:sz="0"/>
          <w:right w:val="none" w:color="FFFFFF" w:sz="0"/>
          <w:insideH w:val="none" w:color="FFFFFF" w:sz="0"/>
          <w:insideV w:val="none" w:color="FFFFFF" w:sz="0"/>
        </w:tblBorders>
        <w:tblLayout w:type="fixed"/>
      </w:tblPr>
      <w:tblGrid>
        <w:gridCol w:w="100"/>
      </w:tblGrid>
      <w:tr>
        <w:tc>
          <w:tcPr>
            <w:shd w:fill="FBE7F1"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A12061"/>
                <w:spacing w:val="12"/>
                <w:sz w:val="18"/>
                <w:szCs w:val="18"/>
              </w:rPr>
              <w:t xml:space="preserve">ERWARTUNGSHORIZONT  ·  VERTIEFUNG 2 (SPUR MIT MEDIEN, WEBSEITE) — ABLAUF EINER BETREIBUNG</w:t>
            </w:r>
          </w:p>
          <w:p>
            <w:pPr>
              <w:spacing w:after="100" w:before="60" w:line="320"/>
            </w:pPr>
            <w:r>
              <w:t xml:space="preserve">Ablauf: Begehren beim Betreibungsamt → Zahlungsbefehl → 20 Tage zum Zahlen oder innert 10 Tagen Rechtsvorschlag → ohne Rechtsvorschlag kann fortgesetzt werden, bis zur Lohnpfändung. Eine Mahnung ist üblich, aber keine Voraussetzung. Was tun: zahlen, eine Ratenvereinbarung suchen, sich beraten lassen — oder Rechtsvorschlag erheben, wenn die Forderung nicht stimmt.
Massgebend ist der Abschnitt «Werden Sie betrieben?» der Seite; die Sicht der Gläubigerin darunter gehört nicht zur Aufgabe.</w:t>
            </w:r>
          </w:p>
        </w:tc>
      </w:tr>
    </w:tbl>
    <w:p>
      <w:pPr>
        <w:spacing w:after="0" w:before="0"/>
      </w:pPr>
      <w:r>
        <w:rPr>
          <w:sz w:val="8"/>
          <w:szCs w:val="8"/>
        </w:rPr>
        <w:t xml:space="preserve"/>
      </w:r>
    </w:p>
    <w:p>
      <w:pPr>
        <w:spacing w:after="100" w:before="60" w:line="320"/>
      </w:pPr>
      <w:r>
        <w:rPr>
          <w:b/>
          <w:bCs/>
        </w:rPr>
        <w:t xml:space="preserve">S. 5 — Auftrag (5 Min.).</w:t>
      </w:r>
      <w:r>
        <w:t xml:space="preserve"> Schritt 04 verlangt Anpassungen </w:t>
      </w:r>
      <w:r>
        <w:rPr>
          <w:b/>
          <w:bCs/>
        </w:rPr>
        <w:t xml:space="preserve">je mit Grund</w:t>
      </w:r>
      <w:r>
        <w:t xml:space="preserve">, und die Schutzregeln setzen bei den Posten an, die in Schritt 03 als Schuldenrisiko markiert sind; eine der Anpassungen gilt der offenen Rechnung (Abgaben). Damit haben beide Feedback-Kriterien einen Beleg im Produkt. Schritt 05 ist in diesem Heft kein Kontrollschritt, sondern das Budgetgespräch. Die Kontrolle vor der Abgabe leisten die zwei Feedback-Kriterien mit der Spalte «Selbst».</w:t>
      </w:r>
    </w:p>
    <w:p>
      <w:pPr>
        <w:spacing w:after="100" w:before="60" w:line="320"/>
      </w:pPr>
      <w:r>
        <w:rPr>
          <w:b/>
          <w:bCs/>
        </w:rPr>
        <w:t xml:space="preserve">S. 6 — Methoden.</w:t>
      </w:r>
      <w:r>
        <w:t xml:space="preserve"> Vier Karten: «Ein Budget aufstellen» für das Monatsbudget, das Rezeptionswerkzeug der Spur für S. 3, «Aufbau eines Statements» für die Argumente und «Die vier Ohren» für das Zuhören im Gespräch. Wie in Heft A zeigt die Rezeptionskarte ein neutrales Beispiel (Vereinssport).</w:t>
      </w:r>
    </w:p>
    <w:p>
      <w:pPr>
        <w:spacing w:after="100" w:before="60" w:line="320"/>
      </w:pPr>
      <w:r>
        <w:rPr>
          <w:b/>
          <w:bCs/>
        </w:rPr>
        <w:t xml:space="preserve">S. 7 — Arbeitsfläche (40 Min.).</w:t>
      </w:r>
      <w:r>
        <w:t xml:space="preserve"> Hier entsteht das saubere Budget aus den Zahlen von LF2, mit Saldo vor und nach den Anpassungen. Darunter stehen zwei bis drei Anpassungen, je mit Grund — eine davon für die offene Rechnung —, und zwei Schutzregeln. Für das Gespräch bilden die Lernenden Paare; das Gegenüber spielt die Kollegin, danach werden die Rollen getauscht, damit jede Person ihr eigenes Budget vertritt. Pro Gespräch 3–4 Minuten.</w:t>
      </w:r>
    </w:p>
    <w:tbl>
      <w:tblPr>
        <w:tblW w:type="pct" w:w="100%"/>
        <w:tblBorders>
          <w:top w:val="single" w:color="A07A14" w:sz="8"/>
          <w:left w:val="single" w:color="A07A14" w:sz="40"/>
          <w:bottom w:val="single" w:color="A07A14" w:sz="8"/>
          <w:right w:val="single" w:color="A07A14" w:sz="8"/>
          <w:insideH w:val="none" w:color="FFFFFF" w:sz="0"/>
          <w:insideV w:val="none" w:color="FFFFFF" w:sz="0"/>
        </w:tblBorders>
        <w:tblLayout w:type="fixed"/>
      </w:tblPr>
      <w:tblGrid>
        <w:gridCol w:w="100"/>
      </w:tblGrid>
      <w:tr>
        <w:tc>
          <w:tcPr>
            <w:shd w:fill="A07A14" w:color="auto" w:val="clear"/>
            <w:tcMar>
              <w:top w:type="dxa" w:w="70"/>
              <w:left w:type="dxa" w:w="220"/>
              <w:bottom w:type="dxa" w:w="70"/>
              <w:right w:type="dxa" w:w="180"/>
            </w:tcMar>
          </w:tcPr>
          <w:p>
            <w:pPr>
              <w:spacing w:after="0" w:before="0"/>
            </w:pPr>
            <w:r>
              <w:rPr>
                <w:rFonts w:ascii="Source Sans 3" w:cs="Source Sans 3" w:eastAsia="Source Sans 3" w:hAnsi="Source Sans 3"/>
                <w:b/>
                <w:bCs/>
                <w:color w:val="FFFFFF"/>
                <w:spacing w:val="16"/>
                <w:sz w:val="21"/>
                <w:szCs w:val="21"/>
              </w:rPr>
              <w:t xml:space="preserve">COACHING-MOVE  ·  DAS BUDGETGESPRÄCH</w:t>
            </w:r>
          </w:p>
        </w:tc>
      </w:tr>
      <w:tr>
        <w:tc>
          <w:tcPr>
            <w:shd w:fill="FDF5E1" w:color="auto" w:val="clear"/>
            <w:tcMar>
              <w:top w:type="dxa" w:w="150"/>
              <w:left w:type="dxa" w:w="220"/>
              <w:bottom w:type="dxa" w:w="150"/>
              <w:right w:type="dxa" w:w="180"/>
            </w:tcMar>
          </w:tcPr>
          <w:p>
            <w:pPr>
              <w:spacing w:after="100" w:before="60" w:line="320"/>
            </w:pPr>
            <w:r>
              <w:t xml:space="preserve">Gib vor dem Gespräch eine klare Struktur: drei Argumente, eine Rückfrage, eine Antwort auf den Einwand. Die Person in der Rolle der Kollegin bringt mindestens einen echten Einwand — etwa «Dann lebst du nur noch fürs Sparen». Wer zuhört, hört mit allen vier Ohren hin, bevor er antwortet. Die Gesprächsnotiz ist Teil der Abgabe.</w:t>
            </w:r>
          </w:p>
        </w:tc>
      </w:tr>
    </w:tbl>
    <w:p>
      <w:pPr>
        <w:spacing w:after="0" w:before="0"/>
      </w:pPr>
      <w:r>
        <w:rPr>
          <w:sz w:val="8"/>
          <w:szCs w:val="8"/>
        </w:rPr>
        <w:t xml:space="preserve"/>
      </w:r>
    </w:p>
    <w:p>
      <w:pPr>
        <w:spacing w:after="100" w:before="60" w:line="320"/>
      </w:pPr>
      <w:r>
        <w:rPr>
          <w:b/>
          <w:bCs/>
        </w:rPr>
        <w:t xml:space="preserve">S. 8 — Abschluss (15 Min.).</w:t>
      </w:r>
      <w:r>
        <w:t xml:space="preserve"> Begriffsnetz mit mindestens fünf beschrifteten Verbindungen, eine davon zum Feld «gilt auch bei …», und zwei eigenen Begriffen aus dem Raster in den leeren Knoten; darunter das Glossar des Hefts. Die drei Zeilen «Das nehme ich mit» — </w:t>
      </w:r>
      <w:r>
        <w:rPr>
          <w:i/>
          <w:iCs/>
        </w:rPr>
        <w:t xml:space="preserve">Meine wichtigste Anpassung · Meine Schutzregel · Mir noch unklar</w:t>
      </w:r>
      <w:r>
        <w:t xml:space="preserve"> — fassen das Heft zusammen; der gemeinsame Auftrag greift darauf zurück.</w:t>
      </w:r>
    </w:p>
    <w:p>
      <w:pPr>
        <w:pStyle w:val="Heading3"/>
        <w:keepNext/>
        <w:spacing w:after="80" w:before="280"/>
      </w:pPr>
      <w:r>
        <w:rPr>
          <w:rFonts w:ascii="Source Serif 4" w:cs="Source Serif 4" w:eastAsia="Source Serif 4" w:hAnsi="Source Serif 4"/>
          <w:b/>
          <w:bCs/>
          <w:color w:val="1A1A1A"/>
          <w:sz w:val="26"/>
          <w:szCs w:val="26"/>
        </w:rPr>
        <w:t xml:space="preserve">Typische Stolpersteine</w:t>
      </w:r>
    </w:p>
    <w:tbl>
      <w:tblPr>
        <w:tblW w:type="pct" w:w="100%"/>
        <w:tblBorders>
          <w:top w:val="none" w:color="FFFFFF" w:sz="0"/>
          <w:left w:val="single" w:color="B8232B" w:sz="18"/>
          <w:bottom w:val="none" w:color="FFFFFF" w:sz="0"/>
          <w:right w:val="none" w:color="FFFFFF" w:sz="0"/>
          <w:insideH w:val="none" w:color="FFFFFF" w:sz="0"/>
          <w:insideV w:val="none" w:color="FFFFFF" w:sz="0"/>
        </w:tblBorders>
        <w:tblLayout w:type="fixed"/>
      </w:tblPr>
      <w:tblGrid>
        <w:gridCol w:w="100"/>
      </w:tblGrid>
      <w:tr>
        <w:tc>
          <w:tcPr>
            <w:shd w:fill="FAECE9"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B8232B"/>
                <w:spacing w:val="12"/>
                <w:sz w:val="18"/>
                <w:szCs w:val="18"/>
              </w:rPr>
              <w:t xml:space="preserve">WARNUNG  ·  EIN BUDGET, DAS NUR AUF DEM PAPIER AUFGEHT</w:t>
            </w:r>
          </w:p>
          <w:p>
            <w:pPr>
              <w:spacing w:after="100" w:before="60" w:line="320"/>
            </w:pPr>
            <w:r>
              <w:t xml:space="preserve">Wunschzahlen statt eigener Zahlen: Das Budget geht auf dem Papier auf, nicht auf dem Konto. Oft fehlen die Rückstellungen ganz. Ebenso häufig: pauschal bei allem sparen, statt zwei bis drei begründete Anpassungen zu wählen. Ein Budget, das niemand einhält, ist wertlos.</w:t>
            </w:r>
          </w:p>
        </w:tc>
      </w:tr>
    </w:tbl>
    <w:p>
      <w:pPr>
        <w:spacing w:after="0" w:before="0"/>
      </w:pPr>
      <w:r>
        <w:rPr>
          <w:sz w:val="8"/>
          <w:szCs w:val="8"/>
        </w:rPr>
        <w:t xml:space="preserve"/>
      </w:r>
    </w:p>
    <w:tbl>
      <w:tblPr>
        <w:tblW w:type="pct" w:w="100%"/>
        <w:tblBorders>
          <w:top w:val="none" w:color="FFFFFF" w:sz="0"/>
          <w:left w:val="single" w:color="B8232B" w:sz="18"/>
          <w:bottom w:val="none" w:color="FFFFFF" w:sz="0"/>
          <w:right w:val="none" w:color="FFFFFF" w:sz="0"/>
          <w:insideH w:val="none" w:color="FFFFFF" w:sz="0"/>
          <w:insideV w:val="none" w:color="FFFFFF" w:sz="0"/>
        </w:tblBorders>
        <w:tblLayout w:type="fixed"/>
      </w:tblPr>
      <w:tblGrid>
        <w:gridCol w:w="100"/>
      </w:tblGrid>
      <w:tr>
        <w:tc>
          <w:tcPr>
            <w:shd w:fill="FAECE9"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B8232B"/>
                <w:spacing w:val="12"/>
                <w:sz w:val="18"/>
                <w:szCs w:val="18"/>
              </w:rPr>
              <w:t xml:space="preserve">WARNUNG  ·  DAS FITNESS-ABO EINORDNEN</w:t>
            </w:r>
          </w:p>
          <w:p>
            <w:pPr>
              <w:spacing w:after="100" w:before="60" w:line="320"/>
            </w:pPr>
            <w:r>
              <w:t xml:space="preserve">Das Lehrmittel führt Sport bei den variablen Kosten. Das Jahresabo aus der Situation ist aber vertraglich gebunden und darum hier eine fixe Ausgabe — Fallwissen, nicht Lehrmittelwissen. Lass die Lernenden die Einordnung begründen, statt eine Lösung vorzugeben.</w:t>
            </w:r>
          </w:p>
        </w:tc>
      </w:tr>
    </w:tbl>
    <w:p>
      <w:pPr>
        <w:spacing w:after="0" w:before="0"/>
      </w:pPr>
      <w:r>
        <w:rPr>
          <w:sz w:val="8"/>
          <w:szCs w:val="8"/>
        </w:rPr>
        <w:t xml:space="preserve"/>
      </w:r>
    </w:p>
    <w:tbl>
      <w:tblPr>
        <w:tblW w:type="pct" w:w="100%"/>
        <w:tblBorders>
          <w:top w:val="none" w:color="FFFFFF" w:sz="0"/>
          <w:left w:val="single" w:color="B8232B" w:sz="18"/>
          <w:bottom w:val="none" w:color="FFFFFF" w:sz="0"/>
          <w:right w:val="none" w:color="FFFFFF" w:sz="0"/>
          <w:insideH w:val="none" w:color="FFFFFF" w:sz="0"/>
          <w:insideV w:val="none" w:color="FFFFFF" w:sz="0"/>
        </w:tblBorders>
        <w:tblLayout w:type="fixed"/>
      </w:tblPr>
      <w:tblGrid>
        <w:gridCol w:w="100"/>
      </w:tblGrid>
      <w:tr>
        <w:tc>
          <w:tcPr>
            <w:shd w:fill="FAECE9"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B8232B"/>
                <w:spacing w:val="12"/>
                <w:sz w:val="18"/>
                <w:szCs w:val="18"/>
              </w:rPr>
              <w:t xml:space="preserve">WARNUNG  ·  WAS NICHT TRAGFÄHIG IST (LF4)</w:t>
            </w:r>
          </w:p>
          <w:p>
            <w:pPr>
              <w:spacing w:after="100" w:before="60" w:line="320"/>
            </w:pPr>
            <w:r>
              <w:t xml:space="preserve">Nur die Rückstellungen streichen; Regeln, die sich nicht überprüfen lassen («Ich will sparsamer sein»); den Einwand übergehen.</w:t>
            </w:r>
          </w:p>
        </w:tc>
      </w:tr>
    </w:tbl>
    <w:p>
      <w:pPr>
        <w:spacing w:after="0" w:before="0"/>
      </w:pPr>
      <w:r>
        <w:rPr>
          <w:sz w:val="8"/>
          <w:szCs w:val="8"/>
        </w:rPr>
        <w:t xml:space="preserve"/>
      </w:r>
    </w:p>
    <w:tbl>
      <w:tblPr>
        <w:tblW w:type="pct" w:w="100%"/>
        <w:tblBorders>
          <w:top w:val="none" w:color="FFFFFF" w:sz="0"/>
          <w:left w:val="single" w:color="B8232B" w:sz="18"/>
          <w:bottom w:val="none" w:color="FFFFFF" w:sz="0"/>
          <w:right w:val="none" w:color="FFFFFF" w:sz="0"/>
          <w:insideH w:val="none" w:color="FFFFFF" w:sz="0"/>
          <w:insideV w:val="none" w:color="FFFFFF" w:sz="0"/>
        </w:tblBorders>
        <w:tblLayout w:type="fixed"/>
      </w:tblPr>
      <w:tblGrid>
        <w:gridCol w:w="100"/>
      </w:tblGrid>
      <w:tr>
        <w:tc>
          <w:tcPr>
            <w:shd w:fill="FAECE9"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B8232B"/>
                <w:spacing w:val="12"/>
                <w:sz w:val="18"/>
                <w:szCs w:val="18"/>
              </w:rPr>
              <w:t xml:space="preserve">WARNUNG  ·  DIE STATISTIK ÜBERLESEN (SPUR MIT MEDIEN)</w:t>
            </w:r>
          </w:p>
          <w:p>
            <w:pPr>
              <w:spacing w:after="100" w:before="60" w:line="320"/>
            </w:pPr>
            <w:r>
              <w:t xml:space="preserve">Die Gründe sind eine </w:t>
            </w:r>
            <w:r>
              <w:rPr>
                <w:b/>
                <w:bCs/>
              </w:rPr>
              <w:t xml:space="preserve">Mehrfachnennung</w:t>
            </w:r>
            <w:r>
              <w:t xml:space="preserve">: Die Prozente lassen sich nicht zusammenzählen. Gezählt sind Haushalte, die 2025 erstmals eine Schuldenberatung aufsuchen — nicht alle Verschuldeten und meist keine jungen Leute. Ob ein Grund auch auf die Lernenden zutrifft, zeigt erst der Blick ins eigene Budget, den LF3 verlangt — nicht die Prozentzahl.</w:t>
            </w:r>
          </w:p>
          <w:p>
            <w:pPr>
              <w:spacing w:after="100" w:before="60" w:line="320"/>
            </w:pPr>
            <w:r>
              <w:t xml:space="preserve">Kommt die </w:t>
            </w:r>
            <w:r>
              <w:rPr>
                <w:b/>
                <w:bCs/>
              </w:rPr>
              <w:t xml:space="preserve">Ersatzquelle</w:t>
            </w:r>
            <w:r>
              <w:t xml:space="preserve"> zum Einsatz (BFS-Grafik «Steuerrückstand 2024»): Gezählt werden Personen, die in einem Haushalt mit mindestens einem Steuerrückstand leben — nicht Schuldnerinnen und Schuldner. Der abgesetzte Teil eines Balkens ist ein Vertrauensbereich: Werte, die so nah beieinanderliegen wie 10,4 und 10,6 %, ergeben keine Rangfolge. Die Grafik zeigt, </w:t>
            </w:r>
            <w:r>
              <w:rPr>
                <w:b/>
                <w:bCs/>
              </w:rPr>
              <w:t xml:space="preserve">wer</w:t>
            </w:r>
            <w:r>
              <w:t xml:space="preserve"> im Rückstand ist, nicht </w:t>
            </w:r>
            <w:r>
              <w:rPr>
                <w:b/>
                <w:bCs/>
              </w:rPr>
              <w:t xml:space="preserve">warum</w:t>
            </w:r>
            <w:r>
              <w:t xml:space="preserve"> — Gründe sind dann Vermutungen der Lernenden und als solche zu kennzeichnen.</w:t>
            </w:r>
          </w:p>
        </w:tc>
      </w:tr>
    </w:tbl>
    <w:p>
      <w:pPr>
        <w:spacing w:after="0" w:before="0"/>
      </w:pPr>
      <w:r>
        <w:rPr>
          <w:sz w:val="8"/>
          <w:szCs w:val="8"/>
        </w:rPr>
        <w:t xml:space="preserve"/>
      </w:r>
    </w:p>
    <w:tbl>
      <w:tblPr>
        <w:tblW w:type="pct" w:w="100%"/>
        <w:tblBorders>
          <w:top w:val="none" w:color="FFFFFF" w:sz="0"/>
          <w:left w:val="single" w:color="C2611A" w:sz="18"/>
          <w:bottom w:val="none" w:color="FFFFFF" w:sz="0"/>
          <w:right w:val="none" w:color="FFFFFF" w:sz="0"/>
          <w:insideH w:val="none" w:color="FFFFFF" w:sz="0"/>
          <w:insideV w:val="none" w:color="FFFFFF" w:sz="0"/>
        </w:tblBorders>
        <w:tblLayout w:type="fixed"/>
      </w:tblPr>
      <w:tblGrid>
        <w:gridCol w:w="100"/>
      </w:tblGrid>
      <w:tr>
        <w:tc>
          <w:tcPr>
            <w:shd w:fill="FCE9D8"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C2611A"/>
                <w:spacing w:val="12"/>
                <w:sz w:val="18"/>
                <w:szCs w:val="18"/>
              </w:rPr>
              <w:t xml:space="preserve">WENN ES STOCKT  ·  HERAUSFORDERUNG B — «ICH KANN NIRGENDS SPAREN»</w:t>
            </w:r>
          </w:p>
          <w:p>
            <w:pPr>
              <w:spacing w:after="100" w:before="60" w:line="320"/>
            </w:pPr>
            <w:r>
              <w:t xml:space="preserve">Wenn eine Lernende blockiert, weil scheinbar alles nötig ist: spiegeln. «Welche Ausgabe würdest du als Erste streichen, wenn du müsstest — und was würde dir dann fehlen?» Das öffnet die Priorisierung, ohne eine Lösung vorzugeben.</w:t>
            </w:r>
          </w:p>
        </w:tc>
      </w:tr>
    </w:tbl>
    <w:p>
      <w:pPr>
        <w:spacing w:after="0" w:before="0"/>
      </w:pPr>
      <w:r>
        <w:rPr>
          <w:sz w:val="8"/>
          <w:szCs w:val="8"/>
        </w:rPr>
        <w:t xml:space="preserve"/>
      </w:r>
    </w:p>
    <w:tbl>
      <w:tblPr>
        <w:tblW w:type="pct" w:w="100%"/>
        <w:tblBorders>
          <w:top w:val="none" w:color="FFFFFF" w:sz="0"/>
          <w:left w:val="single" w:color="2F7373" w:sz="18"/>
          <w:bottom w:val="none" w:color="FFFFFF" w:sz="0"/>
          <w:right w:val="none" w:color="FFFFFF" w:sz="0"/>
          <w:insideH w:val="none" w:color="FFFFFF" w:sz="0"/>
          <w:insideV w:val="none" w:color="FFFFFF" w:sz="0"/>
        </w:tblBorders>
        <w:tblLayout w:type="fixed"/>
      </w:tblPr>
      <w:tblGrid>
        <w:gridCol w:w="100"/>
      </w:tblGrid>
      <w:tr>
        <w:tc>
          <w:tcPr>
            <w:shd w:fill="E6F1F1"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2F7373"/>
                <w:spacing w:val="12"/>
                <w:sz w:val="18"/>
                <w:szCs w:val="18"/>
              </w:rPr>
              <w:t xml:space="preserve">MEHRDEUTIGKEIT HALTEN  ·  HERAUSFORDERUNG B</w:t>
            </w:r>
          </w:p>
          <w:p>
            <w:pPr>
              <w:spacing w:after="100" w:before="60" w:line="320"/>
            </w:pPr>
            <w:r>
              <w:t xml:space="preserve">Leitsatz im Heft: «</w:t>
            </w:r>
            <w:r>
              <w:t xml:space="preserve"/>
            </w:r>
            <w:r>
              <w:t xml:space="preserve">Sparen ist nicht automatisch besser. Ein Budget ohne Spielraum hält niemand durch — entscheidend ist, dass es bis Monatsende trägt und Sie es vertreten können.</w:t>
            </w:r>
            <w:r>
              <w:t xml:space="preserve"/>
            </w:r>
            <w:r>
              <w:t xml:space="preserve">»
Eingriff: Wenn jemand nur radikal spart, frage nach der Lebensqualität — ein tragbares Budget ist keines, das man nach einer Woche bricht.</w:t>
            </w:r>
          </w:p>
        </w:tc>
      </w:tr>
    </w:tbl>
    <w:p>
      <w:pPr>
        <w:spacing w:after="0" w:before="0"/>
      </w:pPr>
      <w:r>
        <w:rPr>
          <w:sz w:val="8"/>
          <w:szCs w:val="8"/>
        </w:rPr>
        <w:t xml:space="preserve"/>
      </w:r>
    </w:p>
    <w:p>
      <w:pPr>
        <w:pStyle w:val="Heading3"/>
        <w:keepNext/>
        <w:spacing w:after="80" w:before="280"/>
      </w:pPr>
      <w:r>
        <w:rPr>
          <w:rFonts w:ascii="Source Serif 4" w:cs="Source Serif 4" w:eastAsia="Source Serif 4" w:hAnsi="Source Serif 4"/>
          <w:b/>
          <w:bCs/>
          <w:color w:val="1A1A1A"/>
          <w:sz w:val="26"/>
          <w:szCs w:val="26"/>
        </w:rPr>
        <w:t xml:space="preserve">Lösungen der Leitfragen</w:t>
      </w:r>
    </w:p>
    <w:p>
      <w:pPr>
        <w:spacing w:after="100" w:before="60" w:line="320"/>
      </w:pPr>
      <w:r>
        <w:t xml:space="preserve">Der Massstab für die Beurteilung, nicht ein Skript zum Vorlesen: Formulierungen der Lernenden dürfen abweichen, solange Quelle und eigene Verdichtung erkennbar sind. LF1 und LF2 gelten in beiden Spuren; LF3 und LF4 stehen je Spur, weil dort Quelle und Pol-Typ wechseln. Zu LF4 gibt es keine Musterantwort, sondern einen Erwartungshorizont mit zwei vertretbaren Entscheiden.</w:t>
      </w:r>
    </w:p>
    <w:p>
      <w:pPr>
        <w:pStyle w:val="Heading4"/>
        <w:keepNext/>
        <w:spacing w:after="60" w:before="200"/>
      </w:pPr>
      <w:r>
        <w:rPr>
          <w:rFonts w:ascii="Source Sans 3" w:cs="Source Sans 3" w:eastAsia="Source Sans 3" w:hAnsi="Source Sans 3"/>
          <w:b/>
          <w:bCs/>
          <w:caps/>
          <w:color w:val="4A4A4A"/>
          <w:sz w:val="20"/>
          <w:szCs w:val="20"/>
        </w:rPr>
        <w:t xml:space="preserve">Kern — gilt in beiden Spuren</w:t>
      </w:r>
    </w:p>
    <w:tbl>
      <w:tblPr>
        <w:tblW w:type="pct" w:w="100%"/>
        <w:tblBorders>
          <w:top w:val="none" w:color="FFFFFF" w:sz="0"/>
          <w:left w:val="single" w:color="A12061" w:sz="18"/>
          <w:bottom w:val="none" w:color="FFFFFF" w:sz="0"/>
          <w:right w:val="none" w:color="FFFFFF" w:sz="0"/>
          <w:insideH w:val="none" w:color="FFFFFF" w:sz="0"/>
          <w:insideV w:val="none" w:color="FFFFFF" w:sz="0"/>
        </w:tblBorders>
        <w:tblLayout w:type="fixed"/>
      </w:tblPr>
      <w:tblGrid>
        <w:gridCol w:w="100"/>
      </w:tblGrid>
      <w:tr>
        <w:tc>
          <w:tcPr>
            <w:shd w:fill="FBE7F1"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A12061"/>
                <w:spacing w:val="12"/>
                <w:sz w:val="18"/>
                <w:szCs w:val="18"/>
              </w:rPr>
              <w:t xml:space="preserve">LÖSUNG DER LEITFRAGE  ·  LF 1 · VERSTEHEN — DREI KOSTENARTEN UND DIE SCHULDENSPIRALE</w:t>
            </w:r>
          </w:p>
          <w:p>
            <w:pPr>
              <w:pStyle w:val="ListParagraph"/>
              <w:numPr>
                <w:ilvl w:val="0"/>
                <w:numId w:val="2"/>
              </w:numPr>
              <w:spacing w:after="30" w:before="30" w:line="300"/>
              <w:ind w:left="280" w:hanging="280"/>
            </w:pPr>
            <w:r>
              <w:rPr>
                <w:b/>
                <w:bCs/>
              </w:rPr>
              <w:t xml:space="preserve">Fixe Kosten:</w:t>
            </w:r>
            <w:r>
              <w:t xml:space="preserve"> Bleiben gleich und lassen sich nicht beeinflussen: Krankenkasse, Handy-Abo, Haushaltsbeitrag, auswärtige Verpflegung. Fallwissen, nicht aus dem Lehrmittel: Das Fitness-Jahresabo ist vertraglich gebunden und darum fix, obwohl das Buch Sport bei den variablen Kosten führt. </w:t>
            </w:r>
            <w:r>
              <w:rPr>
                <w:i/>
                <w:iCs/>
              </w:rPr>
              <w:t xml:space="preserve">(Kap. 2.2, S. 48)</w:t>
            </w:r>
          </w:p>
          <w:p>
            <w:pPr>
              <w:pStyle w:val="ListParagraph"/>
              <w:numPr>
                <w:ilvl w:val="0"/>
                <w:numId w:val="2"/>
              </w:numPr>
              <w:spacing w:after="30" w:before="30" w:line="300"/>
              <w:ind w:left="280" w:hanging="280"/>
            </w:pPr>
            <w:r>
              <w:rPr>
                <w:b/>
                <w:bCs/>
              </w:rPr>
              <w:t xml:space="preserve">Variable Kosten:</w:t>
            </w:r>
            <w:r>
              <w:t xml:space="preserve"> Durch eigenes Verhalten beeinflussbar: Taschengeld, Kleider, Schuhe, Coiffeur, Hobby. </w:t>
            </w:r>
            <w:r>
              <w:rPr>
                <w:i/>
                <w:iCs/>
              </w:rPr>
              <w:t xml:space="preserve">(Kap. 2.2, S. 48)</w:t>
            </w:r>
          </w:p>
          <w:p>
            <w:pPr>
              <w:pStyle w:val="ListParagraph"/>
              <w:numPr>
                <w:ilvl w:val="0"/>
                <w:numId w:val="2"/>
              </w:numPr>
              <w:spacing w:after="30" w:before="30" w:line="300"/>
              <w:ind w:left="280" w:hanging="280"/>
            </w:pPr>
            <w:r>
              <w:rPr>
                <w:b/>
                <w:bCs/>
              </w:rPr>
              <w:t xml:space="preserve">Rückstellungen:</w:t>
            </w:r>
            <w:r>
              <w:t xml:space="preserve"> Dritte Ausgabengruppe der Budgetliste, im Buch nur aufgezählt: Zahnarzt, Optiker, Ferien, Sparen, Steuern, Diverses — Geld, das für spätere Ausgaben zur Seite gelegt wird. </w:t>
            </w:r>
            <w:r>
              <w:rPr>
                <w:i/>
                <w:iCs/>
              </w:rPr>
              <w:t xml:space="preserve">(Kap. 2.2, S. 48)</w:t>
            </w:r>
          </w:p>
          <w:p>
            <w:pPr>
              <w:pStyle w:val="ListParagraph"/>
              <w:numPr>
                <w:ilvl w:val="0"/>
                <w:numId w:val="2"/>
              </w:numPr>
              <w:spacing w:after="30" w:before="30" w:line="300"/>
              <w:ind w:left="280" w:hanging="280"/>
            </w:pPr>
            <w:r>
              <w:rPr>
                <w:b/>
                <w:bCs/>
              </w:rPr>
              <w:t xml:space="preserve">Schuldenspirale:</w:t>
            </w:r>
            <w:r>
              <w:t xml:space="preserve"> Das Lehrmittel nennt den Begriff ohne Ablauf: Wer über seinen Verhältnissen lebt, gerät hinein; dagegen helfen Saldo-Kontrolle und ein angepasster Lebensstil. Fallüberlegung der Lernenden: offene Rechnung plus Mahngebühr bei leerem Konto. </w:t>
            </w:r>
            <w:r>
              <w:rPr>
                <w:i/>
                <w:iCs/>
              </w:rPr>
              <w:t xml:space="preserve">(Kap. 2.2, S. 48)</w:t>
            </w:r>
          </w:p>
        </w:tc>
      </w:tr>
    </w:tbl>
    <w:p>
      <w:pPr>
        <w:spacing w:after="0" w:before="0"/>
      </w:pPr>
      <w:r>
        <w:rPr>
          <w:sz w:val="8"/>
          <w:szCs w:val="8"/>
        </w:rPr>
        <w:t xml:space="preserve"/>
      </w:r>
    </w:p>
    <w:tbl>
      <w:tblPr>
        <w:tblW w:type="pct" w:w="100%"/>
        <w:tblBorders>
          <w:top w:val="none" w:color="FFFFFF" w:sz="0"/>
          <w:left w:val="single" w:color="A12061" w:sz="18"/>
          <w:bottom w:val="none" w:color="FFFFFF" w:sz="0"/>
          <w:right w:val="none" w:color="FFFFFF" w:sz="0"/>
          <w:insideH w:val="none" w:color="FFFFFF" w:sz="0"/>
          <w:insideV w:val="none" w:color="FFFFFF" w:sz="0"/>
        </w:tblBorders>
        <w:tblLayout w:type="fixed"/>
      </w:tblPr>
      <w:tblGrid>
        <w:gridCol w:w="100"/>
      </w:tblGrid>
      <w:tr>
        <w:tc>
          <w:tcPr>
            <w:shd w:fill="FBE7F1"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A12061"/>
                <w:spacing w:val="12"/>
                <w:sz w:val="18"/>
                <w:szCs w:val="18"/>
              </w:rPr>
              <w:t xml:space="preserve">LÖSUNG DER LEITFRAGE  ·  LF 2 · ANWENDEN — REALISTISCHES BUDGET MIT SALDO</w:t>
            </w:r>
          </w:p>
          <w:p>
            <w:pPr>
              <w:pStyle w:val="ListParagraph"/>
              <w:numPr>
                <w:ilvl w:val="0"/>
                <w:numId w:val="2"/>
              </w:numPr>
              <w:spacing w:after="30" w:before="30" w:line="300"/>
              <w:ind w:left="280" w:hanging="280"/>
            </w:pPr>
            <w:r>
              <w:rPr>
                <w:b/>
                <w:bCs/>
              </w:rPr>
              <w:t xml:space="preserve">Einnahmen:</w:t>
            </w:r>
            <w:r>
              <w:t xml:space="preserve"> Nettolohn laut eigener Lohnabrechnung. AHV, IV, EO und ALV werden erst ab dem 1. Januar des Jahres abgezogen, in dem Lernende 18 werden; NBU und weitere Abzüge je nach Betrieb. Die CHF 800 der Situation sind bereits netto. </w:t>
            </w:r>
            <w:r>
              <w:rPr>
                <w:i/>
                <w:iCs/>
              </w:rPr>
              <w:t xml:space="preserve">(Kap. 2.1, S. 46-47)</w:t>
            </w:r>
          </w:p>
          <w:p>
            <w:pPr>
              <w:pStyle w:val="ListParagraph"/>
              <w:numPr>
                <w:ilvl w:val="0"/>
                <w:numId w:val="2"/>
              </w:numPr>
              <w:spacing w:after="30" w:before="30" w:line="300"/>
              <w:ind w:left="280" w:hanging="280"/>
            </w:pPr>
            <w:r>
              <w:rPr>
                <w:b/>
                <w:bCs/>
              </w:rPr>
              <w:t xml:space="preserve">Erwartet:</w:t>
            </w:r>
            <w:r>
              <w:t xml:space="preserve"> Alle drei Kostenarten mit eigenen Zahlen, die Abos als fixe Kosten, die offene Rechnung samt Gebühr als eigene Zeile, Saldo ausgerechnet.</w:t>
            </w:r>
          </w:p>
          <w:p>
            <w:pPr>
              <w:pStyle w:val="ListParagraph"/>
              <w:numPr>
                <w:ilvl w:val="0"/>
                <w:numId w:val="2"/>
              </w:numPr>
              <w:spacing w:after="30" w:before="30" w:line="300"/>
              <w:ind w:left="280" w:hanging="280"/>
            </w:pPr>
            <w:r>
              <w:rPr>
                <w:b/>
                <w:bCs/>
              </w:rPr>
              <w:t xml:space="preserve">Engpass:</w:t>
            </w:r>
            <w:r>
              <w:t xml:space="preserve"> Die Posten, die den Saldo ins Minus drücken, werden benannt (in der Situation: Abos und offene Rechnung; das Konto ist um den 20. leer).</w:t>
            </w:r>
          </w:p>
          <w:p>
            <w:pPr>
              <w:pStyle w:val="ListParagraph"/>
              <w:numPr>
                <w:ilvl w:val="0"/>
                <w:numId w:val="2"/>
              </w:numPr>
              <w:spacing w:after="30" w:before="30" w:line="300"/>
              <w:ind w:left="280" w:hanging="280"/>
            </w:pPr>
            <w:r>
              <w:rPr>
                <w:b/>
                <w:bCs/>
              </w:rPr>
              <w:t xml:space="preserve">Häufiger Fehler:</w:t>
            </w:r>
            <w:r>
              <w:t xml:space="preserve"> Wunschzahlen statt eigene Zahlen — das Budget geht auf dem Papier auf, nicht auf dem Konto. Rückstellungen fehlen ganz.</w:t>
            </w:r>
          </w:p>
        </w:tc>
      </w:tr>
    </w:tbl>
    <w:p>
      <w:pPr>
        <w:spacing w:after="0" w:before="0"/>
      </w:pPr>
      <w:r>
        <w:rPr>
          <w:sz w:val="8"/>
          <w:szCs w:val="8"/>
        </w:rPr>
        <w:t xml:space="preserve"/>
      </w:r>
    </w:p>
    <w:p>
      <w:pPr>
        <w:pStyle w:val="Heading4"/>
        <w:keepNext/>
        <w:spacing w:after="60" w:before="200"/>
      </w:pPr>
      <w:r>
        <w:rPr>
          <w:rFonts w:ascii="Source Sans 3" w:cs="Source Sans 3" w:eastAsia="Source Sans 3" w:hAnsi="Source Sans 3"/>
          <w:b/>
          <w:bCs/>
          <w:caps/>
          <w:color w:val="4A4A4A"/>
          <w:sz w:val="20"/>
          <w:szCs w:val="20"/>
        </w:rPr>
        <w:t xml:space="preserve">Spur ohne Medien</w:t>
      </w:r>
    </w:p>
    <w:tbl>
      <w:tblPr>
        <w:tblW w:type="pct" w:w="100%"/>
        <w:tblBorders>
          <w:top w:val="none" w:color="FFFFFF" w:sz="0"/>
          <w:left w:val="single" w:color="A12061" w:sz="18"/>
          <w:bottom w:val="none" w:color="FFFFFF" w:sz="0"/>
          <w:right w:val="none" w:color="FFFFFF" w:sz="0"/>
          <w:insideH w:val="none" w:color="FFFFFF" w:sz="0"/>
          <w:insideV w:val="none" w:color="FFFFFF" w:sz="0"/>
        </w:tblBorders>
        <w:tblLayout w:type="fixed"/>
      </w:tblPr>
      <w:tblGrid>
        <w:gridCol w:w="100"/>
      </w:tblGrid>
      <w:tr>
        <w:tc>
          <w:tcPr>
            <w:shd w:fill="FBE7F1"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A12061"/>
                <w:spacing w:val="12"/>
                <w:sz w:val="18"/>
                <w:szCs w:val="18"/>
              </w:rPr>
              <w:t xml:space="preserve">LÖSUNG DER LEITFRAGE  ·  LF 3 · ANALYSIEREN — URSACHEN UND FOLGEN VON VERSCHULDUNG, AM EIGENEN BUDGET</w:t>
            </w:r>
          </w:p>
          <w:p>
            <w:pPr>
              <w:pStyle w:val="ListParagraph"/>
              <w:numPr>
                <w:ilvl w:val="0"/>
                <w:numId w:val="2"/>
              </w:numPr>
              <w:spacing w:after="30" w:before="30" w:line="300"/>
              <w:ind w:left="280" w:hanging="280"/>
            </w:pPr>
            <w:r>
              <w:rPr>
                <w:b/>
                <w:bCs/>
              </w:rPr>
              <w:t xml:space="preserve">Erwartet:</w:t>
            </w:r>
            <w:r>
              <w:t xml:space="preserve"> Vier Aussagen mit Seite: Wünsche wachsen mit Alter und Einkommen (S. 199); mehr ausgeben, als zur Verfügung steht (S. 199); Zahlungsrückstände bei Steuern, Krankenkasse, Miete (S. 200); Betreibung, wenn nach der Nachfrist nicht bezahlt ist (S. 200). </w:t>
            </w:r>
            <w:r>
              <w:rPr>
                <w:i/>
                <w:iCs/>
              </w:rPr>
              <w:t xml:space="preserve">(Kap. 8.2)</w:t>
            </w:r>
          </w:p>
          <w:p>
            <w:pPr>
              <w:pStyle w:val="ListParagraph"/>
              <w:numPr>
                <w:ilvl w:val="0"/>
                <w:numId w:val="2"/>
              </w:numPr>
              <w:spacing w:after="30" w:before="30" w:line="300"/>
              <w:ind w:left="280" w:hanging="280"/>
            </w:pPr>
            <w:r>
              <w:rPr>
                <w:b/>
                <w:bCs/>
              </w:rPr>
              <w:t xml:space="preserve">Begriffe:</w:t>
            </w:r>
            <w:r>
              <w:t xml:space="preserve"> Mögliche Zuordnungen (Deutung der Lernenden, mehrere gelten): Wünsche → variable Kosten; Krankenkasse, Miete → fixe Kosten; Steuern → Rückstellungen; Betreibung → Schuldenspirale.</w:t>
            </w:r>
          </w:p>
          <w:p>
            <w:pPr>
              <w:pStyle w:val="ListParagraph"/>
              <w:numPr>
                <w:ilvl w:val="0"/>
                <w:numId w:val="2"/>
              </w:numPr>
              <w:spacing w:after="30" w:before="30" w:line="300"/>
              <w:ind w:left="280" w:hanging="280"/>
            </w:pPr>
            <w:r>
              <w:rPr>
                <w:b/>
                <w:bCs/>
              </w:rPr>
              <w:t xml:space="preserve">Befund:</w:t>
            </w:r>
            <w:r>
              <w:t xml:space="preserve"> Benennt die offene Rechnung oder die Abos als Ursache oder absehbare Folge im eigenen Budget. Die Mahnung selbst steht nicht in Kap. 8.2, sondern beim Zahlungsverzug (Kap. 2.4, S. 62).</w:t>
            </w:r>
          </w:p>
          <w:p>
            <w:pPr>
              <w:pStyle w:val="ListParagraph"/>
              <w:numPr>
                <w:ilvl w:val="0"/>
                <w:numId w:val="2"/>
              </w:numPr>
              <w:spacing w:after="30" w:before="30" w:line="300"/>
              <w:ind w:left="280" w:hanging="280"/>
            </w:pPr>
            <w:r>
              <w:rPr>
                <w:b/>
                <w:bCs/>
              </w:rPr>
              <w:t xml:space="preserve">Stand:</w:t>
            </w:r>
            <w:r>
              <w:t xml:space="preserve"> Kap. 8.2 | S. 199-200, geprüft am 01.10.2026</w:t>
            </w:r>
          </w:p>
        </w:tc>
      </w:tr>
    </w:tbl>
    <w:p>
      <w:pPr>
        <w:spacing w:after="0" w:before="0"/>
      </w:pPr>
      <w:r>
        <w:rPr>
          <w:sz w:val="8"/>
          <w:szCs w:val="8"/>
        </w:rPr>
        <w:t xml:space="preserve"/>
      </w:r>
    </w:p>
    <w:tbl>
      <w:tblPr>
        <w:tblW w:type="pct" w:w="100%"/>
        <w:tblBorders>
          <w:top w:val="none" w:color="FFFFFF" w:sz="0"/>
          <w:left w:val="single" w:color="A12061" w:sz="18"/>
          <w:bottom w:val="none" w:color="FFFFFF" w:sz="0"/>
          <w:right w:val="none" w:color="FFFFFF" w:sz="0"/>
          <w:insideH w:val="none" w:color="FFFFFF" w:sz="0"/>
          <w:insideV w:val="none" w:color="FFFFFF" w:sz="0"/>
        </w:tblBorders>
        <w:tblLayout w:type="fixed"/>
      </w:tblPr>
      <w:tblGrid>
        <w:gridCol w:w="100"/>
      </w:tblGrid>
      <w:tr>
        <w:tc>
          <w:tcPr>
            <w:shd w:fill="FBE7F1"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A12061"/>
                <w:spacing w:val="12"/>
                <w:sz w:val="18"/>
                <w:szCs w:val="18"/>
              </w:rPr>
              <w:t xml:space="preserve">LÖSUNG DER LEITFRAGE  ·  LF 4 · BEURTEILEN — ERWARTUNGSHORIZONT: ENTSCHEID GEGEN EINWAND</w:t>
            </w:r>
          </w:p>
          <w:p>
            <w:pPr>
              <w:pStyle w:val="ListParagraph"/>
              <w:numPr>
                <w:ilvl w:val="0"/>
                <w:numId w:val="2"/>
              </w:numPr>
              <w:spacing w:after="30" w:before="30" w:line="300"/>
              <w:ind w:left="280" w:hanging="280"/>
            </w:pPr>
            <w:r>
              <w:rPr>
                <w:b/>
                <w:bCs/>
              </w:rPr>
              <w:t xml:space="preserve">Gut, wenn:</w:t>
            </w:r>
            <w:r>
              <w:t xml:space="preserve"> Die Anpassungen setzen bei variablen Kosten oder kündbaren Abos an und schliessen den Engpass rechnerisch.</w:t>
            </w:r>
          </w:p>
          <w:p>
            <w:pPr>
              <w:pStyle w:val="ListParagraph"/>
              <w:numPr>
                <w:ilvl w:val="0"/>
                <w:numId w:val="2"/>
              </w:numPr>
              <w:spacing w:after="30" w:before="30" w:line="300"/>
              <w:ind w:left="280" w:hanging="280"/>
            </w:pPr>
            <w:r>
              <w:rPr>
                <w:b/>
                <w:bCs/>
              </w:rPr>
              <w:t xml:space="preserve">Gut, wenn:</w:t>
            </w:r>
            <w:r>
              <w:t xml:space="preserve"> Die offene Rechnung wird zuerst bezahlt oder mit dem Shop in Teilbeträgen geregelt.</w:t>
            </w:r>
          </w:p>
          <w:p>
            <w:pPr>
              <w:pStyle w:val="ListParagraph"/>
              <w:numPr>
                <w:ilvl w:val="0"/>
                <w:numId w:val="2"/>
              </w:numPr>
              <w:spacing w:after="30" w:before="30" w:line="300"/>
              <w:ind w:left="280" w:hanging="280"/>
            </w:pPr>
            <w:r>
              <w:rPr>
                <w:b/>
                <w:bCs/>
              </w:rPr>
              <w:t xml:space="preserve">Gut, wenn:</w:t>
            </w:r>
            <w:r>
              <w:t xml:space="preserve"> Die Schutzregeln sind konkret und in einem Monat überprüfbar (Wenn-dann).</w:t>
            </w:r>
          </w:p>
          <w:p>
            <w:pPr>
              <w:pStyle w:val="ListParagraph"/>
              <w:numPr>
                <w:ilvl w:val="0"/>
                <w:numId w:val="2"/>
              </w:numPr>
              <w:spacing w:after="30" w:before="30" w:line="300"/>
              <w:ind w:left="280" w:hanging="280"/>
            </w:pPr>
            <w:r>
              <w:rPr>
                <w:b/>
                <w:bCs/>
              </w:rPr>
              <w:t xml:space="preserve">Gut, wenn:</w:t>
            </w:r>
            <w:r>
              <w:t xml:space="preserve"> Der Einwand wird ernst genommen; der Entscheid bleibt begründet.</w:t>
            </w:r>
          </w:p>
          <w:p>
            <w:pPr>
              <w:pStyle w:val="ListParagraph"/>
              <w:numPr>
                <w:ilvl w:val="0"/>
                <w:numId w:val="2"/>
              </w:numPr>
              <w:spacing w:after="30" w:before="30" w:line="300"/>
              <w:ind w:left="280" w:hanging="280"/>
            </w:pPr>
            <w:r>
              <w:rPr>
                <w:b/>
                <w:bCs/>
              </w:rPr>
              <w:t xml:space="preserve">Beispiel, Pol 1:</w:t>
            </w:r>
            <w:r>
              <w:t xml:space="preserve"> Dabei bleiben: «Ich kündige das Fitness auf Dezember und kürze Kleider und Schuhe; die offene Rechnung zahle ich diesen Monat zuerst. So reicht das Geld bis Monatsende. Der Einwand stimmt nicht, weil mir 60 Franken für Ausgang bleiben. Regeln: Wenn eine Rechnung kommt, zahle ich sie am Zahltag zuerst. Wenn ich ein Abo abschliesse, dann nur eines, das ich monatlich kündigen kann.»</w:t>
            </w:r>
          </w:p>
          <w:p>
            <w:pPr>
              <w:pStyle w:val="ListParagraph"/>
              <w:numPr>
                <w:ilvl w:val="0"/>
                <w:numId w:val="2"/>
              </w:numPr>
              <w:spacing w:after="30" w:before="30" w:line="300"/>
              <w:ind w:left="280" w:hanging="280"/>
            </w:pPr>
            <w:r>
              <w:rPr>
                <w:b/>
                <w:bCs/>
              </w:rPr>
              <w:t xml:space="preserve">Beispiel, Pol 2:</w:t>
            </w:r>
            <w:r>
              <w:t xml:space="preserve"> Anpassen: «Der Einwand trifft: Wenn ich Ausgang ganz streiche, halte ich das nicht durch. Ich kürze ihn auf die Hälfte, kündige das Fitness und lege 30 Franken als Rückstellung zur Seite; die Rechnung zahle ich in zwei Teilen, das habe ich mit dem Shop abgemacht. Regeln: Wenn ich auf Rechnung bestelle, notiere ich das Zahlungsdatum sofort. Wenn mein Saldo unter 50 Franken fällt, kaufe ich nichts Neues.»</w:t>
            </w:r>
          </w:p>
          <w:p>
            <w:pPr>
              <w:pStyle w:val="ListParagraph"/>
              <w:numPr>
                <w:ilvl w:val="0"/>
                <w:numId w:val="2"/>
              </w:numPr>
              <w:spacing w:after="30" w:before="30" w:line="300"/>
              <w:ind w:left="280" w:hanging="280"/>
            </w:pPr>
            <w:r>
              <w:rPr>
                <w:b/>
                <w:bCs/>
              </w:rPr>
              <w:t xml:space="preserve">Nicht tragfähig:</w:t>
            </w:r>
            <w:r>
              <w:t xml:space="preserve"> Nur Rückstellungen streichen; Regeln ohne Überprüfbarkeit («Ich will sparsamer sein»); den Einwand übergehen.</w:t>
            </w:r>
          </w:p>
        </w:tc>
      </w:tr>
    </w:tbl>
    <w:p>
      <w:pPr>
        <w:spacing w:after="0" w:before="0"/>
      </w:pPr>
      <w:r>
        <w:rPr>
          <w:sz w:val="8"/>
          <w:szCs w:val="8"/>
        </w:rPr>
        <w:t xml:space="preserve"/>
      </w:r>
    </w:p>
    <w:p>
      <w:pPr>
        <w:pStyle w:val="Heading4"/>
        <w:keepNext/>
        <w:spacing w:after="60" w:before="200"/>
      </w:pPr>
      <w:r>
        <w:rPr>
          <w:rFonts w:ascii="Source Sans 3" w:cs="Source Sans 3" w:eastAsia="Source Sans 3" w:hAnsi="Source Sans 3"/>
          <w:b/>
          <w:bCs/>
          <w:caps/>
          <w:color w:val="4A4A4A"/>
          <w:sz w:val="20"/>
          <w:szCs w:val="20"/>
        </w:rPr>
        <w:t xml:space="preserve">Spur mit Medien</w:t>
      </w:r>
    </w:p>
    <w:tbl>
      <w:tblPr>
        <w:tblW w:type="pct" w:w="100%"/>
        <w:tblBorders>
          <w:top w:val="none" w:color="FFFFFF" w:sz="0"/>
          <w:left w:val="single" w:color="A12061" w:sz="18"/>
          <w:bottom w:val="none" w:color="FFFFFF" w:sz="0"/>
          <w:right w:val="none" w:color="FFFFFF" w:sz="0"/>
          <w:insideH w:val="none" w:color="FFFFFF" w:sz="0"/>
          <w:insideV w:val="none" w:color="FFFFFF" w:sz="0"/>
        </w:tblBorders>
        <w:tblLayout w:type="fixed"/>
      </w:tblPr>
      <w:tblGrid>
        <w:gridCol w:w="100"/>
      </w:tblGrid>
      <w:tr>
        <w:tc>
          <w:tcPr>
            <w:shd w:fill="FBE7F1"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A12061"/>
                <w:spacing w:val="12"/>
                <w:sz w:val="18"/>
                <w:szCs w:val="18"/>
              </w:rPr>
              <w:t xml:space="preserve">LÖSUNG DER LEITFRAGE  ·  LF 3 · ANALYSIEREN — GRÜNDE UND DAUER DER ÜBERSCHULDUNG, AM EIGENEN BUDGET</w:t>
            </w:r>
          </w:p>
          <w:p>
            <w:pPr>
              <w:pStyle w:val="ListParagraph"/>
              <w:numPr>
                <w:ilvl w:val="0"/>
                <w:numId w:val="2"/>
              </w:numPr>
              <w:spacing w:after="30" w:before="30" w:line="300"/>
              <w:ind w:left="280" w:hanging="280"/>
            </w:pPr>
            <w:r>
              <w:rPr>
                <w:b/>
                <w:bCs/>
              </w:rPr>
              <w:t xml:space="preserve">Erwartet:</w:t>
            </w:r>
            <w:r>
              <w:t xml:space="preserve"> 2025, z. B.: Unvorsichtige Geldplanung 21 %, Hohe Fixkosten 15 % (2023: 6 %), Auszug Elternhaus 11 % (alle D. 5); Dauer ab 6 Jahren 44 % (D. 4: 20 + 24). </w:t>
            </w:r>
            <w:r>
              <w:rPr>
                <w:i/>
                <w:iCs/>
              </w:rPr>
              <w:t xml:space="preserve">(q-131b-pflicht, S. 7)</w:t>
            </w:r>
          </w:p>
          <w:p>
            <w:pPr>
              <w:pStyle w:val="ListParagraph"/>
              <w:numPr>
                <w:ilvl w:val="0"/>
                <w:numId w:val="2"/>
              </w:numPr>
              <w:spacing w:after="30" w:before="30" w:line="300"/>
              <w:ind w:left="280" w:hanging="280"/>
            </w:pPr>
            <w:r>
              <w:rPr>
                <w:b/>
                <w:bCs/>
              </w:rPr>
              <w:t xml:space="preserve">Auch gültig:</w:t>
            </w:r>
            <w:r>
              <w:t xml:space="preserve"> Gesundheit/Unfall 29 %, Trennung/Scheidung 27 %, Arbeitslosigkeit 23 % (D. 5); Dauer 3–5 Jahre 33 % (D. 4). </w:t>
            </w:r>
            <w:r>
              <w:rPr>
                <w:i/>
                <w:iCs/>
              </w:rPr>
              <w:t xml:space="preserve">(q-131b-pflicht, S. 7)</w:t>
            </w:r>
          </w:p>
          <w:p>
            <w:pPr>
              <w:pStyle w:val="ListParagraph"/>
              <w:numPr>
                <w:ilvl w:val="0"/>
                <w:numId w:val="2"/>
              </w:numPr>
              <w:spacing w:after="30" w:before="30" w:line="300"/>
              <w:ind w:left="280" w:hanging="280"/>
            </w:pPr>
            <w:r>
              <w:rPr>
                <w:b/>
                <w:bCs/>
              </w:rPr>
              <w:t xml:space="preserve">Begriffe:</w:t>
            </w:r>
            <w:r>
              <w:t xml:space="preserve"> Deutung der Lernenden, mehrere gelten: Geldplanung → Saldo; Fixkosten, Auszug → fixe Kosten; lange Dauer → Schuldenspirale. </w:t>
            </w:r>
            <w:r>
              <w:rPr>
                <w:i/>
                <w:iCs/>
              </w:rPr>
              <w:t xml:space="preserve">(Kap. 2.2, S. 48)</w:t>
            </w:r>
          </w:p>
          <w:p>
            <w:pPr>
              <w:pStyle w:val="ListParagraph"/>
              <w:numPr>
                <w:ilvl w:val="0"/>
                <w:numId w:val="2"/>
              </w:numPr>
              <w:spacing w:after="30" w:before="30" w:line="300"/>
              <w:ind w:left="280" w:hanging="280"/>
            </w:pPr>
            <w:r>
              <w:rPr>
                <w:b/>
                <w:bCs/>
              </w:rPr>
              <w:t xml:space="preserve">Befund:</w:t>
            </w:r>
            <w:r>
              <w:t xml:space="preserve"> Verbindet mind. einen Grund mit dem eigenen Budget: Abos als fixe Kosten; offene Rechnung ohne Notizen = fehlende Planung.</w:t>
            </w:r>
          </w:p>
          <w:p>
            <w:pPr>
              <w:pStyle w:val="ListParagraph"/>
              <w:numPr>
                <w:ilvl w:val="0"/>
                <w:numId w:val="2"/>
              </w:numPr>
              <w:spacing w:after="30" w:before="30" w:line="300"/>
              <w:ind w:left="280" w:hanging="280"/>
            </w:pPr>
            <w:r>
              <w:rPr>
                <w:b/>
                <w:bCs/>
              </w:rPr>
              <w:t xml:space="preserve">Lesehilfe:</w:t>
            </w:r>
            <w:r>
              <w:t xml:space="preserve"> Mehrfachnennung: Prozente nicht addieren. Gezählt: Haushalte, die 2025 erstmals eine Schuldenberatung aufsuchen; nicht alle Verschuldeten, meist keine Jungen.</w:t>
            </w:r>
          </w:p>
          <w:p>
            <w:pPr>
              <w:pStyle w:val="ListParagraph"/>
              <w:numPr>
                <w:ilvl w:val="0"/>
                <w:numId w:val="2"/>
              </w:numPr>
              <w:spacing w:after="30" w:before="30" w:line="300"/>
              <w:ind w:left="280" w:hanging="280"/>
            </w:pPr>
            <w:r>
              <w:rPr>
                <w:b/>
                <w:bCs/>
              </w:rPr>
              <w:t xml:space="preserve">Mit Ersatzquelle:</w:t>
            </w:r>
            <w:r>
              <w:t xml:space="preserve"> Gesamt 8,8 %; 18–24 J. 10,4 % → Rückstellungen; oblig. Schule 12,9 % → Schuldenspirale; Arbeitslose 11,4 % → Saldo. Abgesetzter Balkenteil = Vertrauensbereich; 10,4 gegen 10,6 keine Rangfolge; zeigt wer, nicht warum. </w:t>
            </w:r>
            <w:r>
              <w:rPr>
                <w:i/>
                <w:iCs/>
              </w:rPr>
              <w:t xml:space="preserve">(q-131b-pflicht-ersatz)</w:t>
            </w:r>
          </w:p>
          <w:p>
            <w:pPr>
              <w:pStyle w:val="ListParagraph"/>
              <w:numPr>
                <w:ilvl w:val="0"/>
                <w:numId w:val="2"/>
              </w:numPr>
              <w:spacing w:after="30" w:before="30" w:line="300"/>
              <w:ind w:left="280" w:hanging="280"/>
            </w:pPr>
            <w:r>
              <w:rPr>
                <w:b/>
                <w:bCs/>
              </w:rPr>
              <w:t xml:space="preserve">Stand:</w:t>
            </w:r>
            <w:r>
              <w:t xml:space="preserve"> q-131b-pflicht, geprüft am 01.10.2026</w:t>
            </w:r>
          </w:p>
        </w:tc>
      </w:tr>
    </w:tbl>
    <w:p>
      <w:pPr>
        <w:spacing w:after="0" w:before="0"/>
      </w:pPr>
      <w:r>
        <w:rPr>
          <w:sz w:val="8"/>
          <w:szCs w:val="8"/>
        </w:rPr>
        <w:t xml:space="preserve"/>
      </w:r>
    </w:p>
    <w:tbl>
      <w:tblPr>
        <w:tblW w:type="pct" w:w="100%"/>
        <w:tblBorders>
          <w:top w:val="none" w:color="FFFFFF" w:sz="0"/>
          <w:left w:val="single" w:color="A12061" w:sz="18"/>
          <w:bottom w:val="none" w:color="FFFFFF" w:sz="0"/>
          <w:right w:val="none" w:color="FFFFFF" w:sz="0"/>
          <w:insideH w:val="none" w:color="FFFFFF" w:sz="0"/>
          <w:insideV w:val="none" w:color="FFFFFF" w:sz="0"/>
        </w:tblBorders>
        <w:tblLayout w:type="fixed"/>
      </w:tblPr>
      <w:tblGrid>
        <w:gridCol w:w="100"/>
      </w:tblGrid>
      <w:tr>
        <w:tc>
          <w:tcPr>
            <w:shd w:fill="FBE7F1"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A12061"/>
                <w:spacing w:val="12"/>
                <w:sz w:val="18"/>
                <w:szCs w:val="18"/>
              </w:rPr>
              <w:t xml:space="preserve">LÖSUNG DER LEITFRAGE  ·  LF 4 · BEURTEILEN — ERWARTUNGSHORIZONT: ENTSCHEID GEGEN EINWAND</w:t>
            </w:r>
          </w:p>
          <w:p>
            <w:pPr>
              <w:pStyle w:val="ListParagraph"/>
              <w:numPr>
                <w:ilvl w:val="0"/>
                <w:numId w:val="2"/>
              </w:numPr>
              <w:spacing w:after="30" w:before="30" w:line="300"/>
              <w:ind w:left="280" w:hanging="280"/>
            </w:pPr>
            <w:r>
              <w:rPr>
                <w:b/>
                <w:bCs/>
              </w:rPr>
              <w:t xml:space="preserve">Gut, wenn:</w:t>
            </w:r>
            <w:r>
              <w:t xml:space="preserve"> Die Anpassungen setzen bei variablen Kosten oder kündbaren Abos an und schliessen den Engpass rechnerisch.</w:t>
            </w:r>
          </w:p>
          <w:p>
            <w:pPr>
              <w:pStyle w:val="ListParagraph"/>
              <w:numPr>
                <w:ilvl w:val="0"/>
                <w:numId w:val="2"/>
              </w:numPr>
              <w:spacing w:after="30" w:before="30" w:line="300"/>
              <w:ind w:left="280" w:hanging="280"/>
            </w:pPr>
            <w:r>
              <w:rPr>
                <w:b/>
                <w:bCs/>
              </w:rPr>
              <w:t xml:space="preserve">Gut, wenn:</w:t>
            </w:r>
            <w:r>
              <w:t xml:space="preserve"> Die offene Rechnung wird zuerst bezahlt oder mit dem Shop in Teilbeträgen geregelt.</w:t>
            </w:r>
          </w:p>
          <w:p>
            <w:pPr>
              <w:pStyle w:val="ListParagraph"/>
              <w:numPr>
                <w:ilvl w:val="0"/>
                <w:numId w:val="2"/>
              </w:numPr>
              <w:spacing w:after="30" w:before="30" w:line="300"/>
              <w:ind w:left="280" w:hanging="280"/>
            </w:pPr>
            <w:r>
              <w:rPr>
                <w:b/>
                <w:bCs/>
              </w:rPr>
              <w:t xml:space="preserve">Gut, wenn:</w:t>
            </w:r>
            <w:r>
              <w:t xml:space="preserve"> Die Schutzregeln sind konkret und in einem Monat überprüfbar (Wenn-dann).</w:t>
            </w:r>
          </w:p>
          <w:p>
            <w:pPr>
              <w:pStyle w:val="ListParagraph"/>
              <w:numPr>
                <w:ilvl w:val="0"/>
                <w:numId w:val="2"/>
              </w:numPr>
              <w:spacing w:after="30" w:before="30" w:line="300"/>
              <w:ind w:left="280" w:hanging="280"/>
            </w:pPr>
            <w:r>
              <w:rPr>
                <w:b/>
                <w:bCs/>
              </w:rPr>
              <w:t xml:space="preserve">Gut, wenn:</w:t>
            </w:r>
            <w:r>
              <w:t xml:space="preserve"> Der Einwand wird ernst genommen; der Entscheid bleibt begründet.</w:t>
            </w:r>
          </w:p>
          <w:p>
            <w:pPr>
              <w:pStyle w:val="ListParagraph"/>
              <w:numPr>
                <w:ilvl w:val="0"/>
                <w:numId w:val="2"/>
              </w:numPr>
              <w:spacing w:after="30" w:before="30" w:line="300"/>
              <w:ind w:left="280" w:hanging="280"/>
            </w:pPr>
            <w:r>
              <w:rPr>
                <w:b/>
                <w:bCs/>
              </w:rPr>
              <w:t xml:space="preserve">Beispiel, Pol 1:</w:t>
            </w:r>
            <w:r>
              <w:t xml:space="preserve"> Dabei bleiben: «Ich kündige das Fitness auf Dezember und kürze Kleider und Schuhe; die offene Rechnung zahle ich diesen Monat zuerst. So reicht das Geld bis Monatsende. Der Einwand stimmt nicht, weil mir 60 Franken für Ausgang bleiben. Regeln: Wenn eine Rechnung kommt, zahle ich sie am Zahltag zuerst. Wenn ich ein Abo abschliesse, dann nur eines, das ich monatlich kündigen kann.»</w:t>
            </w:r>
          </w:p>
          <w:p>
            <w:pPr>
              <w:pStyle w:val="ListParagraph"/>
              <w:numPr>
                <w:ilvl w:val="0"/>
                <w:numId w:val="2"/>
              </w:numPr>
              <w:spacing w:after="30" w:before="30" w:line="300"/>
              <w:ind w:left="280" w:hanging="280"/>
            </w:pPr>
            <w:r>
              <w:rPr>
                <w:b/>
                <w:bCs/>
              </w:rPr>
              <w:t xml:space="preserve">Beispiel, Pol 2:</w:t>
            </w:r>
            <w:r>
              <w:t xml:space="preserve"> Anpassen: «Der Einwand trifft: Wenn ich Ausgang ganz streiche, halte ich das nicht durch. Ich kürze ihn auf die Hälfte, kündige das Fitness und lege 30 Franken als Rückstellung zur Seite; die Rechnung zahle ich in zwei Teilen, das habe ich mit dem Shop abgemacht. Regeln: Wenn ich auf Rechnung bestelle, notiere ich das Zahlungsdatum sofort. Wenn mein Saldo unter 50 Franken fällt, kaufe ich nichts Neues.»</w:t>
            </w:r>
          </w:p>
          <w:p>
            <w:pPr>
              <w:pStyle w:val="ListParagraph"/>
              <w:numPr>
                <w:ilvl w:val="0"/>
                <w:numId w:val="2"/>
              </w:numPr>
              <w:spacing w:after="30" w:before="30" w:line="300"/>
              <w:ind w:left="280" w:hanging="280"/>
            </w:pPr>
            <w:r>
              <w:rPr>
                <w:b/>
                <w:bCs/>
              </w:rPr>
              <w:t xml:space="preserve">Nicht tragfähig:</w:t>
            </w:r>
            <w:r>
              <w:t xml:space="preserve"> Nur Rückstellungen streichen; Regeln ohne Überprüfbarkeit («Ich will sparsamer sein»); den Einwand übergehen.</w:t>
            </w:r>
          </w:p>
        </w:tc>
      </w:tr>
    </w:tbl>
    <w:p>
      <w:pPr>
        <w:spacing w:after="0" w:before="0"/>
      </w:pPr>
      <w:r>
        <w:rPr>
          <w:sz w:val="8"/>
          <w:szCs w:val="8"/>
        </w:rPr>
        <w:t xml:space="preserve"/>
      </w:r>
    </w:p>
    <w:p>
      <w:pPr>
        <w:pStyle w:val="Heading3"/>
        <w:keepNext/>
        <w:spacing w:after="80" w:before="280"/>
      </w:pPr>
      <w:r>
        <w:rPr>
          <w:rFonts w:ascii="Source Serif 4" w:cs="Source Serif 4" w:eastAsia="Source Serif 4" w:hAnsi="Source Serif 4"/>
          <w:b/>
          <w:bCs/>
          <w:color w:val="1A1A1A"/>
          <w:sz w:val="26"/>
          <w:szCs w:val="26"/>
        </w:rPr>
        <w:t xml:space="preserve">Tafelbild — Begriffsnetz Heft B</w:t>
      </w:r>
    </w:p>
    <w:tbl>
      <w:tblPr>
        <w:tblW w:type="pct" w:w="100%"/>
        <w:tblBorders>
          <w:top w:val="none" w:color="FFFFFF" w:sz="0"/>
          <w:left w:val="single" w:color="1E5E45" w:sz="18"/>
          <w:bottom w:val="none" w:color="FFFFFF" w:sz="0"/>
          <w:right w:val="none" w:color="FFFFFF" w:sz="0"/>
          <w:insideH w:val="none" w:color="FFFFFF" w:sz="0"/>
          <w:insideV w:val="none" w:color="FFFFFF" w:sz="0"/>
        </w:tblBorders>
        <w:tblLayout w:type="fixed"/>
      </w:tblPr>
      <w:tblGrid>
        <w:gridCol w:w="100"/>
      </w:tblGrid>
      <w:tr>
        <w:tc>
          <w:tcPr>
            <w:shd w:fill="E4EDE8"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1E5E45"/>
                <w:spacing w:val="12"/>
                <w:sz w:val="18"/>
                <w:szCs w:val="18"/>
              </w:rPr>
              <w:t xml:space="preserve">TAFELBILD  ·  ERWARTUNGSBILD — BEGRIFFSNETZ UM DAS GEMEINSAME ZENTRUM</w:t>
            </w:r>
          </w:p>
          <w:p>
            <w:pPr>
              <w:spacing w:after="100" w:before="60" w:line="320"/>
            </w:pPr>
            <w:r>
              <w:rPr>
                <w:b/>
                <w:bCs/>
              </w:rPr>
              <w:t xml:space="preserve">Zentrum:</w:t>
            </w:r>
            <w:r>
              <w:t xml:space="preserve"> «</w:t>
            </w:r>
            <w:r>
              <w:t xml:space="preserve"/>
            </w:r>
            <w:r>
              <w:t xml:space="preserve">Wunsch jetzt oder Sicherheit später</w:t>
            </w:r>
            <w:r>
              <w:t xml:space="preserve"/>
            </w:r>
            <w:r>
              <w:t xml:space="preserve">»</w:t>
            </w:r>
          </w:p>
          <w:p>
            <w:pPr>
              <w:spacing w:after="100" w:before="60" w:line="320"/>
            </w:pPr>
            <w:r>
              <w:rPr>
                <w:b/>
                <w:bCs/>
              </w:rPr>
              <w:t xml:space="preserve">Vorgegebene Knoten (zugleich das Glossar des Hefts):</w:t>
            </w:r>
          </w:p>
          <w:p>
            <w:pPr>
              <w:pStyle w:val="ListParagraph"/>
              <w:numPr>
                <w:ilvl w:val="0"/>
                <w:numId w:val="2"/>
              </w:numPr>
              <w:spacing w:after="30" w:before="30" w:line="300"/>
              <w:ind w:left="280" w:hanging="280"/>
            </w:pPr>
            <w:r>
              <w:t xml:space="preserve">«</w:t>
            </w:r>
            <w:r>
              <w:t xml:space="preserve"/>
            </w:r>
            <w:r>
              <w:t xml:space="preserve">Mein Budget</w:t>
            </w:r>
            <w:r>
              <w:t xml:space="preserve"/>
            </w:r>
            <w:r>
              <w:t xml:space="preserve">»: </w:t>
            </w:r>
            <w:r>
              <w:t xml:space="preserve"/>
            </w:r>
            <w:r>
              <w:t xml:space="preserve">Nettolohn</w:t>
            </w:r>
            <w:r>
              <w:t xml:space="preserve"/>
            </w:r>
            <w:r>
              <w:t xml:space="preserve"> · </w:t>
            </w:r>
            <w:r>
              <w:t xml:space="preserve"/>
            </w:r>
            <w:r>
              <w:t xml:space="preserve">Fixe Kosten</w:t>
            </w:r>
            <w:r>
              <w:t xml:space="preserve"/>
            </w:r>
            <w:r>
              <w:t xml:space="preserve"> · </w:t>
            </w:r>
            <w:r>
              <w:t xml:space="preserve"/>
            </w:r>
            <w:r>
              <w:t xml:space="preserve">Variable Kosten</w:t>
            </w:r>
            <w:r>
              <w:t xml:space="preserve"/>
            </w:r>
            <w:r>
              <w:t xml:space="preserve"> · </w:t>
            </w:r>
            <w:r>
              <w:t xml:space="preserve"/>
            </w:r>
            <w:r>
              <w:t xml:space="preserve">Rückstellung</w:t>
            </w:r>
            <w:r>
              <w:t xml:space="preserve"/>
            </w:r>
            <w:r>
              <w:t xml:space="preserve"> · </w:t>
            </w:r>
            <w:r>
              <w:t xml:space="preserve"/>
            </w:r>
            <w:r>
              <w:t xml:space="preserve">Saldo</w:t>
            </w:r>
            <w:r>
              <w:t xml:space="preserve"/>
            </w:r>
          </w:p>
          <w:p>
            <w:pPr>
              <w:pStyle w:val="ListParagraph"/>
              <w:numPr>
                <w:ilvl w:val="0"/>
                <w:numId w:val="2"/>
              </w:numPr>
              <w:spacing w:after="30" w:before="30" w:line="300"/>
              <w:ind w:left="280" w:hanging="280"/>
            </w:pPr>
            <w:r>
              <w:t xml:space="preserve">«</w:t>
            </w:r>
            <w:r>
              <w:t xml:space="preserve"/>
            </w:r>
            <w:r>
              <w:t xml:space="preserve">Wege in die Schulden</w:t>
            </w:r>
            <w:r>
              <w:t xml:space="preserve"/>
            </w:r>
            <w:r>
              <w:t xml:space="preserve">»: </w:t>
            </w:r>
            <w:r>
              <w:t xml:space="preserve"/>
            </w:r>
            <w:r>
              <w:t xml:space="preserve">Engpass</w:t>
            </w:r>
            <w:r>
              <w:t xml:space="preserve"/>
            </w:r>
            <w:r>
              <w:t xml:space="preserve"> · </w:t>
            </w:r>
            <w:r>
              <w:t xml:space="preserve"/>
            </w:r>
            <w:r>
              <w:t xml:space="preserve">Mahnung</w:t>
            </w:r>
            <w:r>
              <w:t xml:space="preserve"/>
            </w:r>
            <w:r>
              <w:t xml:space="preserve"> · </w:t>
            </w:r>
            <w:r>
              <w:t xml:space="preserve"/>
            </w:r>
            <w:r>
              <w:t xml:space="preserve">Schuldenspirale</w:t>
            </w:r>
            <w:r>
              <w:t xml:space="preserve"/>
            </w:r>
          </w:p>
          <w:p>
            <w:pPr>
              <w:pStyle w:val="ListParagraph"/>
              <w:numPr>
                <w:ilvl w:val="0"/>
                <w:numId w:val="2"/>
              </w:numPr>
              <w:spacing w:after="30" w:before="30" w:line="300"/>
              <w:ind w:left="280" w:hanging="280"/>
            </w:pPr>
            <w:r>
              <w:t xml:space="preserve">«</w:t>
            </w:r>
            <w:r>
              <w:t xml:space="preserve"/>
            </w:r>
            <w:r>
              <w:t xml:space="preserve">Anpassen und schützen</w:t>
            </w:r>
            <w:r>
              <w:t xml:space="preserve"/>
            </w:r>
            <w:r>
              <w:t xml:space="preserve">»: </w:t>
            </w:r>
            <w:r>
              <w:t xml:space="preserve"/>
            </w:r>
            <w:r>
              <w:t xml:space="preserve">Anpassung</w:t>
            </w:r>
            <w:r>
              <w:t xml:space="preserve"/>
            </w:r>
            <w:r>
              <w:t xml:space="preserve"> · </w:t>
            </w:r>
            <w:r>
              <w:t xml:space="preserve"/>
            </w:r>
            <w:r>
              <w:t xml:space="preserve">Schutzregel</w:t>
            </w:r>
            <w:r>
              <w:t xml:space="preserve"/>
            </w:r>
          </w:p>
          <w:p>
            <w:pPr>
              <w:pStyle w:val="ListParagraph"/>
              <w:numPr>
                <w:ilvl w:val="0"/>
                <w:numId w:val="2"/>
              </w:numPr>
              <w:spacing w:after="30" w:before="30" w:line="300"/>
              <w:ind w:left="280" w:hanging="280"/>
            </w:pPr>
            <w:r>
              <w:t xml:space="preserve">Zwei leere Knoten: Begriffe aus dem eigenen Raster, in der Spur mit Medien etwa Überschuldung, in der Spur ohne Medien etwa Betreibung.</w:t>
            </w:r>
          </w:p>
          <w:p>
            <w:pPr>
              <w:pStyle w:val="ListParagraph"/>
              <w:numPr>
                <w:ilvl w:val="0"/>
                <w:numId w:val="2"/>
              </w:numPr>
              <w:spacing w:after="30" w:before="30" w:line="300"/>
              <w:ind w:left="280" w:hanging="280"/>
            </w:pPr>
            <w:r>
              <w:t xml:space="preserve">«gilt auch bei …» (offenes Feld): eigene Beispiele, in denen geplant werden muss, bevor Geld ausgegeben wird</w:t>
            </w:r>
          </w:p>
          <w:p>
            <w:pPr>
              <w:spacing w:after="100" w:before="60" w:line="320"/>
            </w:pPr>
            <w:r>
              <w:rPr>
                <w:b/>
                <w:bCs/>
              </w:rPr>
              <w:t xml:space="preserve">Tragfähige Verbindungen, zum Beispiel:</w:t>
            </w:r>
            <w:r>
              <w:t xml:space="preserve"> Fixe Kosten → Engpass («lassen wenig Spielraum») · Mahnung → Schuldenspirale («ist der erste Schritt») · Anpassung → Saldo («verbessert») · Schutzregel → Mahnung («verhindert») · Rückstellung → Zentrum («Sicherheit später»).</w:t>
            </w:r>
          </w:p>
          <w:p>
            <w:pPr>
              <w:spacing w:after="100" w:before="60" w:line="320"/>
            </w:pPr>
            <w:r>
              <w:rPr>
                <w:b/>
                <w:bCs/>
              </w:rPr>
              <w:t xml:space="preserve">Optionale Vertiefung (für 100 %):</w:t>
            </w:r>
            <w:r>
              <w:t xml:space="preserve"> </w:t>
            </w:r>
            <w:r>
              <w:t xml:space="preserve"/>
            </w:r>
            <w:r>
              <w:t xml:space="preserve">Ein zweites Szenario einbauen (unerwartete Optikerrechnung CHF 250) und das Budget mit Rückstellungen anpassen.</w:t>
            </w:r>
            <w:r>
              <w:t xml:space="preserve"/>
            </w:r>
          </w:p>
        </w:tc>
      </w:tr>
    </w:tbl>
    <w:p>
      <w:pPr>
        <w:spacing w:after="0" w:before="0"/>
      </w:pPr>
      <w:r>
        <w:rPr>
          <w:sz w:val="8"/>
          <w:szCs w:val="8"/>
        </w:rPr>
        <w:t xml:space="preserve"/>
      </w:r>
    </w:p>
    <w:p>
      <w:pPr>
        <w:pStyle w:val="Heading3"/>
        <w:keepNext/>
        <w:spacing w:after="80" w:before="280"/>
      </w:pPr>
      <w:r>
        <w:rPr>
          <w:rFonts w:ascii="Source Serif 4" w:cs="Source Serif 4" w:eastAsia="Source Serif 4" w:hAnsi="Source Serif 4"/>
          <w:b/>
          <w:bCs/>
          <w:color w:val="1A1A1A"/>
          <w:sz w:val="26"/>
          <w:szCs w:val="26"/>
        </w:rPr>
        <w:t xml:space="preserve">Wann ist das Heft fertig? (Selbstcheck — formativ, nicht benotet)</w:t>
      </w:r>
    </w:p>
    <w:p>
      <w:pPr>
        <w:spacing w:after="100" w:before="60" w:line="320"/>
      </w:pPr>
      <w:r>
        <w:rPr>
          <w:b/>
          <w:bCs/>
        </w:rPr>
        <w:t xml:space="preserve">Leitfragen</w:t>
      </w:r>
    </w:p>
    <w:p>
      <w:r>
        <w:rPr>
          <w:color w:val="7A7A7A"/>
          <w:sz w:val="20"/>
          <w:szCs w:val="20"/>
        </w:rPr>
        <w:t xml:space="preserve">
</w:t>
      </w:r>
    </w:p>
    <w:p>
      <w:pPr>
        <w:spacing w:after="100" w:before="60" w:line="320"/>
      </w:pPr>
      <w:r>
        <w:t xml:space="preserve">☐ LF1 erklärt drei Kostenarten und die Schuldenspirale
☐ LF2 hat die Zahlen, den Saldo und die knappen Posten
☐ LF4 nennt Anpassungen, zwei Regeln und den Einwand</w:t>
      </w:r>
    </w:p>
    <w:p>
      <w:r>
        <w:rPr>
          <w:color w:val="7A7A7A"/>
          <w:sz w:val="20"/>
          <w:szCs w:val="20"/>
        </w:rPr>
        <w:t xml:space="preserve"/>
      </w:r>
    </w:p>
    <w:p>
      <w:pPr>
        <w:spacing w:after="100" w:before="60" w:line="320"/>
      </w:pPr>
      <w:r>
        <w:rPr>
          <w:b/>
          <w:bCs/>
        </w:rPr>
        <w:t xml:space="preserve">Quelle</w:t>
      </w:r>
    </w:p>
    <w:p>
      <w:r>
        <w:rPr>
          <w:color w:val="7A7A7A"/>
          <w:sz w:val="20"/>
          <w:szCs w:val="20"/>
        </w:rPr>
        <w:t xml:space="preserve">
</w:t>
      </w:r>
    </w:p>
    <w:p>
      <w:pPr>
        <w:spacing w:after="100" w:before="60" w:line="320"/>
      </w:pPr>
      <w:r>
        <w:t xml:space="preserve">☐ Raster zur Quelle (S. 3) mit vier Zeilen
☐ Jede Zeile hat einen Begriff aus LF1
☐ Befund in zwei bis drei Sätzen</w:t>
      </w:r>
    </w:p>
    <w:p>
      <w:r>
        <w:rPr>
          <w:color w:val="7A7A7A"/>
          <w:sz w:val="20"/>
          <w:szCs w:val="20"/>
        </w:rPr>
        <w:t xml:space="preserve"/>
      </w:r>
    </w:p>
    <w:p>
      <w:pPr>
        <w:spacing w:after="100" w:before="60" w:line="320"/>
      </w:pPr>
      <w:r>
        <w:rPr>
          <w:b/>
          <w:bCs/>
        </w:rPr>
        <w:t xml:space="preserve">Budget und Gespräch</w:t>
      </w:r>
    </w:p>
    <w:p>
      <w:r>
        <w:rPr>
          <w:color w:val="7A7A7A"/>
          <w:sz w:val="20"/>
          <w:szCs w:val="20"/>
        </w:rPr>
        <w:t xml:space="preserve">
</w:t>
      </w:r>
    </w:p>
    <w:p>
      <w:pPr>
        <w:spacing w:after="100" w:before="60" w:line="320"/>
      </w:pPr>
      <w:r>
        <w:t xml:space="preserve">☐ Saldo vor und nach den Anpassungen
☐ Zwei überprüfbare Schutzregeln
☐ Gespräch geführt, Notiz mit Argumenten, Rückfrage, Antwort auf Einwand</w:t>
      </w:r>
    </w:p>
    <w:p>
      <w:r>
        <w:rPr>
          <w:color w:val="7A7A7A"/>
          <w:sz w:val="20"/>
          <w:szCs w:val="20"/>
        </w:rPr>
        <w:t xml:space="preserve"/>
      </w:r>
    </w:p>
    <w:p>
      <w:pPr>
        <w:spacing w:after="100" w:before="60" w:line="320"/>
      </w:pPr>
      <w:r>
        <w:rPr>
          <w:b/>
          <w:bCs/>
        </w:rPr>
        <w:t xml:space="preserve">Abschluss</w:t>
      </w:r>
    </w:p>
    <w:p>
      <w:r>
        <w:rPr>
          <w:color w:val="7A7A7A"/>
          <w:sz w:val="20"/>
          <w:szCs w:val="20"/>
        </w:rPr>
        <w:t xml:space="preserve">
</w:t>
      </w:r>
    </w:p>
    <w:p>
      <w:pPr>
        <w:spacing w:after="100" w:before="60" w:line="320"/>
      </w:pPr>
      <w:r>
        <w:t xml:space="preserve">☐ Begriffsnetz mit mind. 5 beschrifteten Verbindungen
☐ Quer-Check abgehakt
☐ «Das nehme ich mit» ausgefüllt</w:t>
      </w:r>
    </w:p>
    <w:p>
      <w:r>
        <w:rPr>
          <w:color w:val="7A7A7A"/>
          <w:sz w:val="20"/>
          <w:szCs w:val="20"/>
        </w:rPr>
        <w:t xml:space="preserve"/>
      </w:r>
    </w:p>
    <w:tbl>
      <w:tblPr>
        <w:tblW w:type="pct" w:w="100%"/>
        <w:tblBorders>
          <w:top w:val="single" w:color="4A4A4A" w:sz="8"/>
          <w:left w:val="single" w:color="4A4A4A" w:sz="40"/>
          <w:bottom w:val="single" w:color="4A4A4A" w:sz="8"/>
          <w:right w:val="single" w:color="4A4A4A" w:sz="8"/>
          <w:insideH w:val="none" w:color="FFFFFF" w:sz="0"/>
          <w:insideV w:val="none" w:color="FFFFFF" w:sz="0"/>
        </w:tblBorders>
        <w:tblLayout w:type="fixed"/>
      </w:tblPr>
      <w:tblGrid>
        <w:gridCol w:w="100"/>
      </w:tblGrid>
      <w:tr>
        <w:tc>
          <w:tcPr>
            <w:shd w:fill="4A4A4A" w:color="auto" w:val="clear"/>
            <w:tcMar>
              <w:top w:type="dxa" w:w="70"/>
              <w:left w:type="dxa" w:w="220"/>
              <w:bottom w:type="dxa" w:w="70"/>
              <w:right w:type="dxa" w:w="180"/>
            </w:tcMar>
          </w:tcPr>
          <w:p>
            <w:pPr>
              <w:spacing w:after="0" w:before="0"/>
            </w:pPr>
            <w:r>
              <w:rPr>
                <w:rFonts w:ascii="Source Sans 3" w:cs="Source Sans 3" w:eastAsia="Source Sans 3" w:hAnsi="Source Sans 3"/>
                <w:b/>
                <w:bCs/>
                <w:color w:val="FFFFFF"/>
                <w:spacing w:val="16"/>
                <w:sz w:val="21"/>
                <w:szCs w:val="21"/>
              </w:rPr>
              <w:t xml:space="preserve">DIFFERENZIEREN  ·  80 VS. 100 — HERAUSFORDERUNG B</w:t>
            </w:r>
          </w:p>
        </w:tc>
      </w:tr>
      <w:tr>
        <w:tc>
          <w:tcPr>
            <w:shd w:fill="EDEDED" w:color="auto" w:val="clear"/>
            <w:tcMar>
              <w:top w:type="dxa" w:w="150"/>
              <w:left w:type="dxa" w:w="220"/>
              <w:bottom w:type="dxa" w:w="150"/>
              <w:right w:type="dxa" w:w="180"/>
            </w:tcMar>
          </w:tcPr>
          <w:p>
            <w:pPr>
              <w:spacing w:after="100" w:before="60" w:line="320"/>
            </w:pPr>
            <w:r>
              <w:rPr>
                <w:b/>
                <w:bCs/>
              </w:rPr>
              <w:t xml:space="preserve">80 % (alle):</w:t>
            </w:r>
            <w:r>
              <w:t xml:space="preserve"> vollständiges Budget mit Saldo vor und nach den Anpassungen, zwei überprüfbare Schutzregeln, Gespräch geführt. Als Stütze dient das Beispiel auf S. 6 («So kann Ihr Produkt aussehen»): ein ausgefülltes Budget mit Anpassungen, Regeln und Gesprächsnotiz an einem anderen Fall. </w:t>
            </w:r>
            <w:r>
              <w:rPr>
                <w:b/>
                <w:bCs/>
              </w:rPr>
              <w:t xml:space="preserve">100 % (Vertiefung):</w:t>
            </w:r>
            <w:r>
              <w:t xml:space="preserve"> ein zweites Szenario mit einer unerwarteten Ausgabe einbauen und das Budget mit Rückstellungen anpassen (siehe Tafelbild).</w:t>
            </w:r>
          </w:p>
        </w:tc>
      </w:tr>
    </w:tbl>
    <w:p>
      <w:pPr>
        <w:spacing w:after="0" w:before="0"/>
      </w:pPr>
      <w:r>
        <w:rPr>
          <w:sz w:val="8"/>
          <w:szCs w:val="8"/>
        </w:rPr>
        <w:t xml:space="preserve"/>
      </w:r>
    </w:p>
    <w:p>
      <w:pPr>
        <w:pStyle w:val="Heading2"/>
        <w:keepNext/>
        <w:pageBreakBefore/>
        <w:pBdr>
          <w:bottom w:val="single" w:color="80FF00" w:sz="18" w:space="6"/>
        </w:pBdr>
        <w:spacing w:after="160" w:before="0"/>
      </w:pPr>
      <w:bookmarkStart w:name="chap-5" w:id="1"/>
      <w:r>
        <w:rPr>
          <w:rFonts w:ascii="Source Serif 4" w:cs="Source Serif 4" w:eastAsia="Source Serif 4" w:hAnsi="Source Serif 4"/>
          <w:b/>
          <w:bCs/>
          <w:color w:val="1A1A1A"/>
          <w:sz w:val="36"/>
          <w:szCs w:val="36"/>
        </w:rPr>
        <w:t xml:space="preserve">5. Quellen-Stand</w:t>
      </w:r>
      <w:bookmarkEnd w:id="1"/>
    </w:p>
    <w:p>
      <w:pPr>
        <w:spacing w:after="100" w:before="60" w:line="320"/>
      </w:pPr>
      <w:r>
        <w:t xml:space="preserve">Die Tabelle wird beim Laden aus der Quellenkartei erzeugt; sie zeigt den Stand, an dem Abruf, Titel, Datum und Sachlage zuletzt geprüft wurden. Das Repository ist öffentlich: Es enthält nur diese Metadaten, keine Volltexte und keine Transkripte.</w:t>
      </w:r>
    </w:p>
    <w:p>
      <w:r>
        <w:rPr>
          <w:color w:val="7A7A7A"/>
          <w:sz w:val="20"/>
          <w:szCs w:val="20"/>
        </w:rPr>
        <w:t xml:space="preserve">
</w:t>
      </w:r>
    </w:p>
    <w:tbl>
      <w:tblPr>
        <w:tblW w:type="pct" w:w="100%"/>
        <w:tblBorders>
          <w:top w:val="single" w:color="DCDCDC" w:sz="4"/>
          <w:left w:val="single" w:color="DCDCDC" w:sz="4"/>
          <w:bottom w:val="single" w:color="DCDCDC" w:sz="4"/>
          <w:right w:val="single" w:color="DCDCDC" w:sz="4"/>
          <w:insideH w:val="single" w:color="DCDCDC" w:sz="4"/>
          <w:insideV w:val="single" w:color="DCDCDC" w:sz="4"/>
        </w:tblBorders>
        <w:tblLayout w:type="fixed"/>
      </w:tblPr>
      <w:tblGrid>
        <w:gridCol w:w="100"/>
        <w:gridCol w:w="100"/>
        <w:gridCol w:w="100"/>
        <w:gridCol w:w="100"/>
        <w:gridCol w:w="100"/>
        <w:gridCol w:w="100"/>
        <w:gridCol w:w="100"/>
        <w:gridCol w:w="100"/>
      </w:tblGrid>
      <w:tr>
        <w:trPr>
          <w:tblHeader/>
        </w:trPr>
        <w:tc>
          <w:tcPr>
            <w:shd w:fill="1A1A1A" w:color="auto" w:val="clear"/>
            <w:tcMar>
              <w:top w:type="dxa" w:w="80"/>
              <w:left w:type="dxa" w:w="120"/>
              <w:bottom w:type="dxa" w:w="80"/>
              <w:right w:type="dxa" w:w="120"/>
            </w:tcMar>
          </w:tcPr>
          <w:p>
            <w:pPr>
              <w:spacing w:after="0" w:before="0"/>
            </w:pPr>
            <w:r>
              <w:rPr>
                <w:b/>
                <w:bCs/>
                <w:color w:val="FFFFFF"/>
                <w:sz w:val="19"/>
                <w:szCs w:val="19"/>
              </w:rPr>
              <w:t xml:space="preserve">Rolle</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Titel</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Herausgeber</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Datum</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Verortung</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Länge</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Geprüft am</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Link</w:t>
            </w:r>
          </w:p>
        </w:tc>
      </w:tr>
      <w:tr>
        <w:tc>
          <w:tcPr>
            <w:tcMar>
              <w:top w:type="dxa" w:w="70"/>
              <w:left w:type="dxa" w:w="120"/>
              <w:bottom w:type="dxa" w:w="70"/>
              <w:right w:type="dxa" w:w="120"/>
            </w:tcMar>
          </w:tcPr>
          <w:p>
            <w:pPr>
              <w:spacing w:after="0" w:before="0"/>
            </w:pPr>
            <w:r>
              <w:rPr>
                <w:b w:val="false"/>
                <w:bCs w:val="false"/>
                <w:sz w:val="20"/>
                <w:szCs w:val="20"/>
              </w:rPr>
              <w:t xml:space="preserve">A · Quelle (q-131a-pflicht)</w:t>
            </w:r>
          </w:p>
        </w:tc>
        <w:tc>
          <w:tcPr>
            <w:tcMar>
              <w:top w:type="dxa" w:w="70"/>
              <w:left w:type="dxa" w:w="120"/>
              <w:bottom w:type="dxa" w:w="70"/>
              <w:right w:type="dxa" w:w="120"/>
            </w:tcMar>
          </w:tcPr>
          <w:p>
            <w:pPr>
              <w:spacing w:after="0" w:before="0"/>
            </w:pPr>
            <w:r>
              <w:rPr>
                <w:b w:val="false"/>
                <w:bCs w:val="false"/>
                <w:sz w:val="20"/>
                <w:szCs w:val="20"/>
              </w:rPr>
              <w:t xml:space="preserve">Influencer treiben Online-Käufe bei Jugendlichen in die Höhe</w:t>
            </w:r>
          </w:p>
        </w:tc>
        <w:tc>
          <w:tcPr>
            <w:tcMar>
              <w:top w:type="dxa" w:w="70"/>
              <w:left w:type="dxa" w:w="120"/>
              <w:bottom w:type="dxa" w:w="70"/>
              <w:right w:type="dxa" w:w="120"/>
            </w:tcMar>
          </w:tcPr>
          <w:p>
            <w:pPr>
              <w:spacing w:after="0" w:before="0"/>
            </w:pPr>
            <w:r>
              <w:rPr>
                <w:b w:val="false"/>
                <w:bCs w:val="false"/>
                <w:sz w:val="20"/>
                <w:szCs w:val="20"/>
              </w:rPr>
              <w:t xml:space="preserve">nau.ch / Keystone-SDA</w:t>
            </w:r>
          </w:p>
        </w:tc>
        <w:tc>
          <w:tcPr>
            <w:tcMar>
              <w:top w:type="dxa" w:w="70"/>
              <w:left w:type="dxa" w:w="120"/>
              <w:bottom w:type="dxa" w:w="70"/>
              <w:right w:type="dxa" w:w="120"/>
            </w:tcMar>
          </w:tcPr>
          <w:p>
            <w:pPr>
              <w:spacing w:after="0" w:before="0"/>
            </w:pPr>
            <w:r>
              <w:rPr>
                <w:b w:val="false"/>
                <w:bCs w:val="false"/>
                <w:sz w:val="20"/>
                <w:szCs w:val="20"/>
              </w:rPr>
              <w:t xml:space="preserve">15.06.2026</w:t>
            </w:r>
          </w:p>
        </w:tc>
        <w:tc>
          <w:tcPr>
            <w:tcMar>
              <w:top w:type="dxa" w:w="70"/>
              <w:left w:type="dxa" w:w="120"/>
              <w:bottom w:type="dxa" w:w="70"/>
              <w:right w:type="dxa" w:w="120"/>
            </w:tcMar>
          </w:tcPr>
          <w:p>
            <w:pPr>
              <w:spacing w:after="0" w:before="0"/>
            </w:pPr>
            <w:r>
              <w:rPr>
                <w:b w:val="false"/>
                <w:bCs w:val="false"/>
                <w:sz w:val="20"/>
                <w:szCs w:val="20"/>
              </w:rPr>
              <w:t xml:space="preserve">ganzer Artikel, Absätze 1–8</w:t>
            </w:r>
          </w:p>
        </w:tc>
        <w:tc>
          <w:tcPr>
            <w:tcMar>
              <w:top w:type="dxa" w:w="70"/>
              <w:left w:type="dxa" w:w="120"/>
              <w:bottom w:type="dxa" w:w="70"/>
              <w:right w:type="dxa" w:w="120"/>
            </w:tcMar>
          </w:tcPr>
          <w:p>
            <w:pPr>
              <w:spacing w:after="0" w:before="0"/>
            </w:pPr>
            <w:r>
              <w:rPr>
                <w:b w:val="false"/>
                <w:bCs w:val="false"/>
                <w:sz w:val="20"/>
                <w:szCs w:val="20"/>
              </w:rPr>
              <w:t xml:space="preserve">421 Wörter</w:t>
            </w:r>
          </w:p>
        </w:tc>
        <w:tc>
          <w:tcPr>
            <w:tcMar>
              <w:top w:type="dxa" w:w="70"/>
              <w:left w:type="dxa" w:w="120"/>
              <w:bottom w:type="dxa" w:w="70"/>
              <w:right w:type="dxa" w:w="120"/>
            </w:tcMar>
          </w:tcPr>
          <w:p>
            <w:pPr>
              <w:spacing w:after="0" w:before="0"/>
            </w:pPr>
            <w:r>
              <w:rPr>
                <w:b w:val="false"/>
                <w:bCs w:val="false"/>
                <w:sz w:val="20"/>
                <w:szCs w:val="20"/>
              </w:rPr>
              <w:t xml:space="preserve">01.10.2026</w:t>
            </w:r>
          </w:p>
        </w:tc>
        <w:tc>
          <w:tcPr>
            <w:tcMar>
              <w:top w:type="dxa" w:w="70"/>
              <w:left w:type="dxa" w:w="120"/>
              <w:bottom w:type="dxa" w:w="70"/>
              <w:right w:type="dxa" w:w="120"/>
            </w:tcMar>
          </w:tcPr>
          <w:p>
            <w:pPr>
              <w:spacing w:after="0" w:before="0"/>
            </w:pPr>
            <w:hyperlink w:history="1" r:id="rIdubjp-rovqfpjclht2_5kl">
              <w:r>
                <w:rPr>
                  <w:b w:val="false"/>
                  <w:bCs w:val="false"/>
                  <w:color w:val="5A9D14"/>
                  <w:sz w:val="20"/>
                  <w:szCs w:val="20"/>
                  <w:u w:val="single" w:color="5A9D14"/>
                </w:rPr>
                <w:t xml:space="preserve">nau.ch</w:t>
              </w:r>
            </w:hyperlink>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A · Ersatzquelle (q-131a-pflicht-ersatz)</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Influencer-Marketing gefährdet junge Leute – die Politik sollte handeln</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watson.ch</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17.12.2025</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ab «Was wurde untersucht?», 10 Absätze</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287 Wörter</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01.10.2026</w:t>
            </w:r>
          </w:p>
        </w:tc>
        <w:tc>
          <w:tcPr>
            <w:shd w:fill="FAFAF7" w:color="auto" w:val="clear"/>
            <w:tcMar>
              <w:top w:type="dxa" w:w="70"/>
              <w:left w:type="dxa" w:w="120"/>
              <w:bottom w:type="dxa" w:w="70"/>
              <w:right w:type="dxa" w:w="120"/>
            </w:tcMar>
          </w:tcPr>
          <w:p>
            <w:pPr>
              <w:spacing w:after="0" w:before="0"/>
            </w:pPr>
            <w:hyperlink w:history="1" r:id="rIddmkpvpipibvcmffye6ggv">
              <w:r>
                <w:rPr>
                  <w:b w:val="false"/>
                  <w:bCs w:val="false"/>
                  <w:color w:val="5A9D14"/>
                  <w:sz w:val="20"/>
                  <w:szCs w:val="20"/>
                  <w:u w:val="single" w:color="5A9D14"/>
                </w:rPr>
                <w:t xml:space="preserve">watson.ch</w:t>
              </w:r>
            </w:hyperlink>
          </w:p>
        </w:tc>
      </w:tr>
      <w:tr>
        <w:tc>
          <w:tcPr>
            <w:tcMar>
              <w:top w:type="dxa" w:w="70"/>
              <w:left w:type="dxa" w:w="120"/>
              <w:bottom w:type="dxa" w:w="70"/>
              <w:right w:type="dxa" w:w="120"/>
            </w:tcMar>
          </w:tcPr>
          <w:p>
            <w:pPr>
              <w:spacing w:after="0" w:before="0"/>
            </w:pPr>
            <w:r>
              <w:rPr>
                <w:b w:val="false"/>
                <w:bCs w:val="false"/>
                <w:sz w:val="20"/>
                <w:szCs w:val="20"/>
              </w:rPr>
              <w:t xml:space="preserve">A · Vertiefung 1 (q-131a-vertiefung-1)</w:t>
            </w:r>
          </w:p>
        </w:tc>
        <w:tc>
          <w:tcPr>
            <w:tcMar>
              <w:top w:type="dxa" w:w="70"/>
              <w:left w:type="dxa" w:w="120"/>
              <w:bottom w:type="dxa" w:w="70"/>
              <w:right w:type="dxa" w:w="120"/>
            </w:tcMar>
          </w:tcPr>
          <w:p>
            <w:pPr>
              <w:spacing w:after="0" w:before="0"/>
            </w:pPr>
            <w:r>
              <w:rPr>
                <w:b w:val="false"/>
                <w:bCs w:val="false"/>
                <w:sz w:val="20"/>
                <w:szCs w:val="20"/>
              </w:rPr>
              <w:t xml:space="preserve">So erkennt man Influencer-Werbung</w:t>
            </w:r>
          </w:p>
        </w:tc>
        <w:tc>
          <w:tcPr>
            <w:tcMar>
              <w:top w:type="dxa" w:w="70"/>
              <w:left w:type="dxa" w:w="120"/>
              <w:bottom w:type="dxa" w:w="70"/>
              <w:right w:type="dxa" w:w="120"/>
            </w:tcMar>
          </w:tcPr>
          <w:p>
            <w:pPr>
              <w:spacing w:after="0" w:before="0"/>
            </w:pPr>
            <w:r>
              <w:rPr>
                <w:b w:val="false"/>
                <w:bCs w:val="false"/>
                <w:sz w:val="20"/>
                <w:szCs w:val="20"/>
              </w:rPr>
              <w:t xml:space="preserve">SRF Ratgeber</w:t>
            </w:r>
          </w:p>
        </w:tc>
        <w:tc>
          <w:tcPr>
            <w:tcMar>
              <w:top w:type="dxa" w:w="70"/>
              <w:left w:type="dxa" w:w="120"/>
              <w:bottom w:type="dxa" w:w="70"/>
              <w:right w:type="dxa" w:w="120"/>
            </w:tcMar>
          </w:tcPr>
          <w:p>
            <w:pPr>
              <w:spacing w:after="0" w:before="0"/>
            </w:pPr>
            <w:r>
              <w:rPr>
                <w:b w:val="false"/>
                <w:bCs w:val="false"/>
                <w:sz w:val="20"/>
                <w:szCs w:val="20"/>
              </w:rPr>
              <w:t xml:space="preserve">23.08.2023</w:t>
            </w:r>
          </w:p>
        </w:tc>
        <w:tc>
          <w:tcPr>
            <w:tcMar>
              <w:top w:type="dxa" w:w="70"/>
              <w:left w:type="dxa" w:w="120"/>
              <w:bottom w:type="dxa" w:w="70"/>
              <w:right w:type="dxa" w:w="120"/>
            </w:tcMar>
          </w:tcPr>
          <w:p>
            <w:pPr>
              <w:spacing w:after="0" w:before="0"/>
            </w:pPr>
            <w:r>
              <w:rPr>
                <w:b w:val="false"/>
                <w:bCs w:val="false"/>
                <w:sz w:val="20"/>
                <w:szCs w:val="20"/>
              </w:rPr>
              <w:t xml:space="preserve">00:00–05:54</w:t>
            </w:r>
          </w:p>
        </w:tc>
        <w:tc>
          <w:tcPr>
            <w:tcMar>
              <w:top w:type="dxa" w:w="70"/>
              <w:left w:type="dxa" w:w="120"/>
              <w:bottom w:type="dxa" w:w="70"/>
              <w:right w:type="dxa" w:w="120"/>
            </w:tcMar>
          </w:tcPr>
          <w:p>
            <w:pPr>
              <w:spacing w:after="0" w:before="0"/>
            </w:pPr>
            <w:r>
              <w:rPr>
                <w:b w:val="false"/>
                <w:bCs w:val="false"/>
                <w:sz w:val="20"/>
                <w:szCs w:val="20"/>
              </w:rPr>
              <w:t xml:space="preserve">5:54 Min.</w:t>
            </w:r>
          </w:p>
        </w:tc>
        <w:tc>
          <w:tcPr>
            <w:tcMar>
              <w:top w:type="dxa" w:w="70"/>
              <w:left w:type="dxa" w:w="120"/>
              <w:bottom w:type="dxa" w:w="70"/>
              <w:right w:type="dxa" w:w="120"/>
            </w:tcMar>
          </w:tcPr>
          <w:p>
            <w:pPr>
              <w:spacing w:after="0" w:before="0"/>
            </w:pPr>
            <w:r>
              <w:rPr>
                <w:b w:val="false"/>
                <w:bCs w:val="false"/>
                <w:sz w:val="20"/>
                <w:szCs w:val="20"/>
              </w:rPr>
              <w:t xml:space="preserve">01.10.2026</w:t>
            </w:r>
          </w:p>
        </w:tc>
        <w:tc>
          <w:tcPr>
            <w:tcMar>
              <w:top w:type="dxa" w:w="70"/>
              <w:left w:type="dxa" w:w="120"/>
              <w:bottom w:type="dxa" w:w="70"/>
              <w:right w:type="dxa" w:w="120"/>
            </w:tcMar>
          </w:tcPr>
          <w:p>
            <w:pPr>
              <w:spacing w:after="0" w:before="0"/>
            </w:pPr>
            <w:hyperlink w:history="1" r:id="rIdda9erlr_fgazrylqc9yns">
              <w:r>
                <w:rPr>
                  <w:b w:val="false"/>
                  <w:bCs w:val="false"/>
                  <w:color w:val="5A9D14"/>
                  <w:sz w:val="20"/>
                  <w:szCs w:val="20"/>
                  <w:u w:val="single" w:color="5A9D14"/>
                </w:rPr>
                <w:t xml:space="preserve">srf.ch</w:t>
              </w:r>
            </w:hyperlink>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A · Vertiefung 2 (q-131a-vertiefung-2)</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Designer-Fälschungen – So funktioniert das illegale Business mit Fakes</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SRF Impact</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10.01.2024</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00:35–06:29</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5:54 Min.</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01.10.2026</w:t>
            </w:r>
          </w:p>
        </w:tc>
        <w:tc>
          <w:tcPr>
            <w:shd w:fill="FAFAF7" w:color="auto" w:val="clear"/>
            <w:tcMar>
              <w:top w:type="dxa" w:w="70"/>
              <w:left w:type="dxa" w:w="120"/>
              <w:bottom w:type="dxa" w:w="70"/>
              <w:right w:type="dxa" w:w="120"/>
            </w:tcMar>
          </w:tcPr>
          <w:p>
            <w:pPr>
              <w:spacing w:after="0" w:before="0"/>
            </w:pPr>
            <w:hyperlink w:history="1" r:id="rIdl9dj23ff-0g2wvbhnws7s">
              <w:r>
                <w:rPr>
                  <w:b w:val="false"/>
                  <w:bCs w:val="false"/>
                  <w:color w:val="5A9D14"/>
                  <w:sz w:val="20"/>
                  <w:szCs w:val="20"/>
                  <w:u w:val="single" w:color="5A9D14"/>
                </w:rPr>
                <w:t xml:space="preserve">srf.ch</w:t>
              </w:r>
            </w:hyperlink>
          </w:p>
        </w:tc>
      </w:tr>
      <w:tr>
        <w:tc>
          <w:tcPr>
            <w:tcMar>
              <w:top w:type="dxa" w:w="70"/>
              <w:left w:type="dxa" w:w="120"/>
              <w:bottom w:type="dxa" w:w="70"/>
              <w:right w:type="dxa" w:w="120"/>
            </w:tcMar>
          </w:tcPr>
          <w:p>
            <w:pPr>
              <w:spacing w:after="0" w:before="0"/>
            </w:pPr>
            <w:r>
              <w:rPr>
                <w:b w:val="false"/>
                <w:bCs w:val="false"/>
                <w:sz w:val="20"/>
                <w:szCs w:val="20"/>
              </w:rPr>
              <w:t xml:space="preserve">B · Quelle (q-131b-pflicht)</w:t>
            </w:r>
          </w:p>
        </w:tc>
        <w:tc>
          <w:tcPr>
            <w:tcMar>
              <w:top w:type="dxa" w:w="70"/>
              <w:left w:type="dxa" w:w="120"/>
              <w:bottom w:type="dxa" w:w="70"/>
              <w:right w:type="dxa" w:w="120"/>
            </w:tcMar>
          </w:tcPr>
          <w:p>
            <w:pPr>
              <w:spacing w:after="0" w:before="0"/>
            </w:pPr>
            <w:r>
              <w:rPr>
                <w:b w:val="false"/>
                <w:bCs w:val="false"/>
                <w:sz w:val="20"/>
                <w:szCs w:val="20"/>
              </w:rPr>
              <w:t xml:space="preserve">Statistik 2025 der Schuldenberatungen: Gründe der Überschuldung</w:t>
            </w:r>
          </w:p>
        </w:tc>
        <w:tc>
          <w:tcPr>
            <w:tcMar>
              <w:top w:type="dxa" w:w="70"/>
              <w:left w:type="dxa" w:w="120"/>
              <w:bottom w:type="dxa" w:w="70"/>
              <w:right w:type="dxa" w:w="120"/>
            </w:tcMar>
          </w:tcPr>
          <w:p>
            <w:pPr>
              <w:spacing w:after="0" w:before="0"/>
            </w:pPr>
            <w:r>
              <w:rPr>
                <w:b w:val="false"/>
                <w:bCs w:val="false"/>
                <w:sz w:val="20"/>
                <w:szCs w:val="20"/>
              </w:rPr>
              <w:t xml:space="preserve">Schuldenberatung Schweiz</w:t>
            </w:r>
          </w:p>
        </w:tc>
        <w:tc>
          <w:tcPr>
            <w:tcMar>
              <w:top w:type="dxa" w:w="70"/>
              <w:left w:type="dxa" w:w="120"/>
              <w:bottom w:type="dxa" w:w="70"/>
              <w:right w:type="dxa" w:w="120"/>
            </w:tcMar>
          </w:tcPr>
          <w:p>
            <w:pPr>
              <w:spacing w:after="0" w:before="0"/>
            </w:pPr>
            <w:r>
              <w:rPr>
                <w:b w:val="false"/>
                <w:bCs w:val="false"/>
                <w:sz w:val="20"/>
                <w:szCs w:val="20"/>
              </w:rPr>
              <w:t xml:space="preserve">09.2026</w:t>
            </w:r>
          </w:p>
        </w:tc>
        <w:tc>
          <w:tcPr>
            <w:tcMar>
              <w:top w:type="dxa" w:w="70"/>
              <w:left w:type="dxa" w:w="120"/>
              <w:bottom w:type="dxa" w:w="70"/>
              <w:right w:type="dxa" w:w="120"/>
            </w:tcMar>
          </w:tcPr>
          <w:p>
            <w:pPr>
              <w:spacing w:after="0" w:before="0"/>
            </w:pPr>
            <w:r>
              <w:rPr>
                <w:b w:val="false"/>
                <w:bCs w:val="false"/>
                <w:sz w:val="20"/>
                <w:szCs w:val="20"/>
              </w:rPr>
              <w:t xml:space="preserve">Seite 7, Darstellung 4 und 5</w:t>
            </w:r>
          </w:p>
        </w:tc>
        <w:tc>
          <w:tcPr>
            <w:tcMar>
              <w:top w:type="dxa" w:w="70"/>
              <w:left w:type="dxa" w:w="120"/>
              <w:bottom w:type="dxa" w:w="70"/>
              <w:right w:type="dxa" w:w="120"/>
            </w:tcMar>
          </w:tcPr>
          <w:p>
            <w:pPr>
              <w:spacing w:after="0" w:before="0"/>
            </w:pPr>
            <w:r>
              <w:rPr>
                <w:b w:val="false"/>
                <w:bCs w:val="false"/>
                <w:sz w:val="20"/>
                <w:szCs w:val="20"/>
              </w:rPr>
              <w:t xml:space="preserve">114 Wörter</w:t>
            </w:r>
          </w:p>
        </w:tc>
        <w:tc>
          <w:tcPr>
            <w:tcMar>
              <w:top w:type="dxa" w:w="70"/>
              <w:left w:type="dxa" w:w="120"/>
              <w:bottom w:type="dxa" w:w="70"/>
              <w:right w:type="dxa" w:w="120"/>
            </w:tcMar>
          </w:tcPr>
          <w:p>
            <w:pPr>
              <w:spacing w:after="0" w:before="0"/>
            </w:pPr>
            <w:r>
              <w:rPr>
                <w:b w:val="false"/>
                <w:bCs w:val="false"/>
                <w:sz w:val="20"/>
                <w:szCs w:val="20"/>
              </w:rPr>
              <w:t xml:space="preserve">01.10.2026</w:t>
            </w:r>
          </w:p>
        </w:tc>
        <w:tc>
          <w:tcPr>
            <w:tcMar>
              <w:top w:type="dxa" w:w="70"/>
              <w:left w:type="dxa" w:w="120"/>
              <w:bottom w:type="dxa" w:w="70"/>
              <w:right w:type="dxa" w:w="120"/>
            </w:tcMar>
          </w:tcPr>
          <w:p>
            <w:pPr>
              <w:spacing w:after="0" w:before="0"/>
            </w:pPr>
            <w:hyperlink w:history="1" r:id="rIdeaxkgoiynhmjwvuf_hop3">
              <w:r>
                <w:rPr>
                  <w:b w:val="false"/>
                  <w:bCs w:val="false"/>
                  <w:color w:val="5A9D14"/>
                  <w:sz w:val="20"/>
                  <w:szCs w:val="20"/>
                  <w:u w:val="single" w:color="5A9D14"/>
                </w:rPr>
                <w:t xml:space="preserve">schulden.ch</w:t>
              </w:r>
            </w:hyperlink>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B · Ersatzquelle (q-131b-pflicht-ersatz)</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Steuerrückstand 2024 nach Alter, Bildung, Erwerbsstatus</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Bundesamt für Statistik (BFS)</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16.02.2026</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Zeilen Gesamt, Alter, Bildung, Erwerb</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86 Wörter</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01.10.2026</w:t>
            </w:r>
          </w:p>
        </w:tc>
        <w:tc>
          <w:tcPr>
            <w:shd w:fill="FAFAF7" w:color="auto" w:val="clear"/>
            <w:tcMar>
              <w:top w:type="dxa" w:w="70"/>
              <w:left w:type="dxa" w:w="120"/>
              <w:bottom w:type="dxa" w:w="70"/>
              <w:right w:type="dxa" w:w="120"/>
            </w:tcMar>
          </w:tcPr>
          <w:p>
            <w:pPr>
              <w:spacing w:after="0" w:before="0"/>
            </w:pPr>
            <w:hyperlink w:history="1" r:id="rId4v2b4cmf7jyrdlrl_0-vw">
              <w:r>
                <w:rPr>
                  <w:b w:val="false"/>
                  <w:bCs w:val="false"/>
                  <w:color w:val="5A9D14"/>
                  <w:sz w:val="20"/>
                  <w:szCs w:val="20"/>
                  <w:u w:val="single" w:color="5A9D14"/>
                </w:rPr>
                <w:t xml:space="preserve">datawrapper.dwcdn.net</w:t>
              </w:r>
            </w:hyperlink>
          </w:p>
        </w:tc>
      </w:tr>
      <w:tr>
        <w:tc>
          <w:tcPr>
            <w:tcMar>
              <w:top w:type="dxa" w:w="70"/>
              <w:left w:type="dxa" w:w="120"/>
              <w:bottom w:type="dxa" w:w="70"/>
              <w:right w:type="dxa" w:w="120"/>
            </w:tcMar>
          </w:tcPr>
          <w:p>
            <w:pPr>
              <w:spacing w:after="0" w:before="0"/>
            </w:pPr>
            <w:r>
              <w:rPr>
                <w:b w:val="false"/>
                <w:bCs w:val="false"/>
                <w:sz w:val="20"/>
                <w:szCs w:val="20"/>
              </w:rPr>
              <w:t xml:space="preserve">B · Vertiefung 1 (q-131b-vertiefung-1)</w:t>
            </w:r>
          </w:p>
        </w:tc>
        <w:tc>
          <w:tcPr>
            <w:tcMar>
              <w:top w:type="dxa" w:w="70"/>
              <w:left w:type="dxa" w:w="120"/>
              <w:bottom w:type="dxa" w:w="70"/>
              <w:right w:type="dxa" w:w="120"/>
            </w:tcMar>
          </w:tcPr>
          <w:p>
            <w:pPr>
              <w:spacing w:after="0" w:before="0"/>
            </w:pPr>
            <w:r>
              <w:rPr>
                <w:b w:val="false"/>
                <w:bCs w:val="false"/>
                <w:sz w:val="20"/>
                <w:szCs w:val="20"/>
              </w:rPr>
              <w:t xml:space="preserve">Neuer Aargauer Verein hilft jungen Leuten mit Schulden</w:t>
            </w:r>
          </w:p>
        </w:tc>
        <w:tc>
          <w:tcPr>
            <w:tcMar>
              <w:top w:type="dxa" w:w="70"/>
              <w:left w:type="dxa" w:w="120"/>
              <w:bottom w:type="dxa" w:w="70"/>
              <w:right w:type="dxa" w:w="120"/>
            </w:tcMar>
          </w:tcPr>
          <w:p>
            <w:pPr>
              <w:spacing w:after="0" w:before="0"/>
            </w:pPr>
            <w:r>
              <w:rPr>
                <w:b w:val="false"/>
                <w:bCs w:val="false"/>
                <w:sz w:val="20"/>
                <w:szCs w:val="20"/>
              </w:rPr>
              <w:t xml:space="preserve">SRF Regionaljournal AG/SO</w:t>
            </w:r>
          </w:p>
        </w:tc>
        <w:tc>
          <w:tcPr>
            <w:tcMar>
              <w:top w:type="dxa" w:w="70"/>
              <w:left w:type="dxa" w:w="120"/>
              <w:bottom w:type="dxa" w:w="70"/>
              <w:right w:type="dxa" w:w="120"/>
            </w:tcMar>
          </w:tcPr>
          <w:p>
            <w:pPr>
              <w:spacing w:after="0" w:before="0"/>
            </w:pPr>
            <w:r>
              <w:rPr>
                <w:b w:val="false"/>
                <w:bCs w:val="false"/>
                <w:sz w:val="20"/>
                <w:szCs w:val="20"/>
              </w:rPr>
              <w:t xml:space="preserve">06.02.2025</w:t>
            </w:r>
          </w:p>
        </w:tc>
        <w:tc>
          <w:tcPr>
            <w:tcMar>
              <w:top w:type="dxa" w:w="70"/>
              <w:left w:type="dxa" w:w="120"/>
              <w:bottom w:type="dxa" w:w="70"/>
              <w:right w:type="dxa" w:w="120"/>
            </w:tcMar>
          </w:tcPr>
          <w:p>
            <w:pPr>
              <w:spacing w:after="0" w:before="0"/>
            </w:pPr>
            <w:r>
              <w:rPr>
                <w:b w:val="false"/>
                <w:bCs w:val="false"/>
                <w:sz w:val="20"/>
                <w:szCs w:val="20"/>
              </w:rPr>
              <w:t xml:space="preserve">00:04–03:10</w:t>
            </w:r>
          </w:p>
        </w:tc>
        <w:tc>
          <w:tcPr>
            <w:tcMar>
              <w:top w:type="dxa" w:w="70"/>
              <w:left w:type="dxa" w:w="120"/>
              <w:bottom w:type="dxa" w:w="70"/>
              <w:right w:type="dxa" w:w="120"/>
            </w:tcMar>
          </w:tcPr>
          <w:p>
            <w:pPr>
              <w:spacing w:after="0" w:before="0"/>
            </w:pPr>
            <w:r>
              <w:rPr>
                <w:b w:val="false"/>
                <w:bCs w:val="false"/>
                <w:sz w:val="20"/>
                <w:szCs w:val="20"/>
              </w:rPr>
              <w:t xml:space="preserve">3:06 Min.</w:t>
            </w:r>
          </w:p>
        </w:tc>
        <w:tc>
          <w:tcPr>
            <w:tcMar>
              <w:top w:type="dxa" w:w="70"/>
              <w:left w:type="dxa" w:w="120"/>
              <w:bottom w:type="dxa" w:w="70"/>
              <w:right w:type="dxa" w:w="120"/>
            </w:tcMar>
          </w:tcPr>
          <w:p>
            <w:pPr>
              <w:spacing w:after="0" w:before="0"/>
            </w:pPr>
            <w:r>
              <w:rPr>
                <w:b w:val="false"/>
                <w:bCs w:val="false"/>
                <w:sz w:val="20"/>
                <w:szCs w:val="20"/>
              </w:rPr>
              <w:t xml:space="preserve">01.10.2026</w:t>
            </w:r>
          </w:p>
        </w:tc>
        <w:tc>
          <w:tcPr>
            <w:tcMar>
              <w:top w:type="dxa" w:w="70"/>
              <w:left w:type="dxa" w:w="120"/>
              <w:bottom w:type="dxa" w:w="70"/>
              <w:right w:type="dxa" w:w="120"/>
            </w:tcMar>
          </w:tcPr>
          <w:p>
            <w:pPr>
              <w:spacing w:after="0" w:before="0"/>
            </w:pPr>
            <w:hyperlink w:history="1" r:id="rId3ev079th8lynzb1legz18">
              <w:r>
                <w:rPr>
                  <w:b w:val="false"/>
                  <w:bCs w:val="false"/>
                  <w:color w:val="5A9D14"/>
                  <w:sz w:val="20"/>
                  <w:szCs w:val="20"/>
                  <w:u w:val="single" w:color="5A9D14"/>
                </w:rPr>
                <w:t xml:space="preserve">srf.ch</w:t>
              </w:r>
            </w:hyperlink>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B · Vertiefung 2 (q-131b-vertiefung-2)</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Betreibung: Zahlungsbefehl, Rechtsvorschlag, Pfändung</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ch.ch – Bund, Kantone, Gemeinden</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o. D.</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Abschnitt «Werden Sie betrieben?»</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384 Wörter</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01.10.2026</w:t>
            </w:r>
          </w:p>
        </w:tc>
        <w:tc>
          <w:tcPr>
            <w:shd w:fill="FAFAF7" w:color="auto" w:val="clear"/>
            <w:tcMar>
              <w:top w:type="dxa" w:w="70"/>
              <w:left w:type="dxa" w:w="120"/>
              <w:bottom w:type="dxa" w:w="70"/>
              <w:right w:type="dxa" w:w="120"/>
            </w:tcMar>
          </w:tcPr>
          <w:p>
            <w:pPr>
              <w:spacing w:after="0" w:before="0"/>
            </w:pPr>
            <w:hyperlink w:history="1" r:id="rIdj0ibgi7imboq35dvrkpun">
              <w:r>
                <w:rPr>
                  <w:b w:val="false"/>
                  <w:bCs w:val="false"/>
                  <w:color w:val="5A9D14"/>
                  <w:sz w:val="20"/>
                  <w:szCs w:val="20"/>
                  <w:u w:val="single" w:color="5A9D14"/>
                </w:rPr>
                <w:t xml:space="preserve">ch.ch</w:t>
              </w:r>
            </w:hyperlink>
          </w:p>
        </w:tc>
      </w:tr>
    </w:tbl>
    <w:p>
      <w:pPr>
        <w:spacing w:after="0" w:before="0"/>
      </w:pPr>
      <w:r>
        <w:rPr>
          <w:sz w:val="8"/>
          <w:szCs w:val="8"/>
        </w:rPr>
        <w:t xml:space="preserve"/>
      </w:r>
    </w:p>
    <w:p>
      <w:r>
        <w:rPr>
          <w:color w:val="7A7A7A"/>
          <w:sz w:val="20"/>
          <w:szCs w:val="20"/>
        </w:rPr>
        <w:t xml:space="preserve"/>
      </w:r>
    </w:p>
    <w:p>
      <w:pPr>
        <w:spacing w:after="100" w:before="60" w:line="320"/>
      </w:pPr>
      <w:r>
        <w:rPr>
          <w:b/>
          <w:bCs/>
        </w:rPr>
        <w:t xml:space="preserve">Was du über die Quellen wissen musst</w:t>
      </w:r>
    </w:p>
    <w:p>
      <w:pPr>
        <w:pStyle w:val="ListParagraph"/>
        <w:numPr>
          <w:ilvl w:val="0"/>
          <w:numId w:val="2"/>
        </w:numPr>
        <w:spacing w:after="30" w:before="30" w:line="300"/>
        <w:ind w:left="280" w:hanging="280"/>
      </w:pPr>
      <w:r>
        <w:rPr>
          <w:b/>
          <w:bCs/>
        </w:rPr>
        <w:t xml:space="preserve">Quelle A</w:t>
      </w:r>
      <w:r>
        <w:t xml:space="preserve"> beruht auf einer Erhebung in </w:t>
      </w:r>
      <w:r>
        <w:rPr>
          <w:b/>
          <w:bCs/>
        </w:rPr>
        <w:t xml:space="preserve">Deutschland</w:t>
      </w:r>
      <w:r>
        <w:t xml:space="preserve"> mit 10- bis 17-Jährigen. Die Wege, über die Kaufwünsche entstehen, sind übertragbar; die Prozentzahlen sind keine Schweizer Werte.</w:t>
      </w:r>
    </w:p>
    <w:p>
      <w:pPr>
        <w:pStyle w:val="ListParagraph"/>
        <w:numPr>
          <w:ilvl w:val="0"/>
          <w:numId w:val="2"/>
        </w:numPr>
        <w:spacing w:after="30" w:before="30" w:line="300"/>
        <w:ind w:left="280" w:hanging="280"/>
      </w:pPr>
      <w:r>
        <w:rPr>
          <w:b/>
          <w:bCs/>
        </w:rPr>
        <w:t xml:space="preserve">Vertiefung A1</w:t>
      </w:r>
      <w:r>
        <w:t xml:space="preserve"> ist nicht gegengehört: Es gibt kein Transkript, der Kurzbeschrieb stützt sich auf den von SRF veröffentlichten Begleittext. Hör den Beitrag vor dem Einsatz selbst an.</w:t>
      </w:r>
    </w:p>
    <w:p>
      <w:pPr>
        <w:pStyle w:val="ListParagraph"/>
        <w:numPr>
          <w:ilvl w:val="0"/>
          <w:numId w:val="2"/>
        </w:numPr>
        <w:spacing w:after="30" w:before="30" w:line="300"/>
        <w:ind w:left="280" w:hanging="280"/>
      </w:pPr>
      <w:r>
        <w:rPr>
          <w:b/>
          <w:bCs/>
        </w:rPr>
        <w:t xml:space="preserve">Vertiefung A2</w:t>
      </w:r>
      <w:r>
        <w:t xml:space="preserve"> ist in Mundart, mit hochdeutschen Untertiteln.</w:t>
      </w:r>
    </w:p>
    <w:p>
      <w:pPr>
        <w:pStyle w:val="ListParagraph"/>
        <w:numPr>
          <w:ilvl w:val="0"/>
          <w:numId w:val="2"/>
        </w:numPr>
        <w:spacing w:after="30" w:before="30" w:line="300"/>
        <w:ind w:left="280" w:hanging="280"/>
      </w:pPr>
      <w:r>
        <w:rPr>
          <w:b/>
          <w:bCs/>
        </w:rPr>
        <w:t xml:space="preserve">Quelle B</w:t>
      </w:r>
      <w:r>
        <w:t xml:space="preserve"> gilt nur mit ihrer </w:t>
      </w:r>
      <w:r>
        <w:rPr>
          <w:b/>
          <w:bCs/>
        </w:rPr>
        <w:t xml:space="preserve">Seite 7</w:t>
      </w:r>
      <w:r>
        <w:t xml:space="preserve"> («Gründe für die Überschuldung», «Dauer der Verschuldung»). Die Gründe sind eine </w:t>
      </w:r>
      <w:r>
        <w:rPr>
          <w:b/>
          <w:bCs/>
        </w:rPr>
        <w:t xml:space="preserve">Mehrfachnennung</w:t>
      </w:r>
      <w:r>
        <w:t xml:space="preserve"> — die Prozente nicht zusammenzählen. Gezählt sind Haushalte, die erstmals eine Schuldenberatung aufsuchen; die Ratsuchenden sind meist zwischen 30 und 49 Jahre alt, also meist nicht junge Leute wie die Lernenden.</w:t>
      </w:r>
    </w:p>
    <w:p>
      <w:pPr>
        <w:pStyle w:val="ListParagraph"/>
        <w:numPr>
          <w:ilvl w:val="0"/>
          <w:numId w:val="2"/>
        </w:numPr>
        <w:spacing w:after="30" w:before="30" w:line="300"/>
        <w:ind w:left="280" w:hanging="280"/>
      </w:pPr>
      <w:r>
        <w:t xml:space="preserve">Der Link zeigt auf </w:t>
      </w:r>
      <w:r>
        <w:rPr>
          <w:b/>
          <w:bCs/>
        </w:rPr>
        <w:t xml:space="preserve">Seite 7 eines PDF</w:t>
      </w:r>
      <w:r>
        <w:t xml:space="preserve">; manche Handys öffnen trotzdem Seite 1 — sag die Seitenzahl an. Die Seiten 8–9 desselben PDF behandeln Gläubigerarten und gehören </w:t>
      </w:r>
      <w:r>
        <w:rPr>
          <w:b/>
          <w:bCs/>
        </w:rPr>
        <w:t xml:space="preserve">nicht zum Auftrag</w:t>
      </w:r>
      <w:r>
        <w:t xml:space="preserve">.</w:t>
      </w:r>
    </w:p>
    <w:p>
      <w:pPr>
        <w:pStyle w:val="ListParagraph"/>
        <w:numPr>
          <w:ilvl w:val="0"/>
          <w:numId w:val="2"/>
        </w:numPr>
        <w:spacing w:after="30" w:before="30" w:line="300"/>
        <w:ind w:left="280" w:hanging="280"/>
      </w:pPr>
      <w:r>
        <w:rPr>
          <w:b/>
          <w:bCs/>
        </w:rPr>
        <w:t xml:space="preserve">Ersatzquelle B</w:t>
      </w:r>
      <w:r>
        <w:t xml:space="preserve"> (BFS-Grafik «Steuerrückstand 2024») — falls sie zum Einsatz kommt: Sie zählt </w:t>
      </w:r>
      <w:r>
        <w:rPr>
          <w:b/>
          <w:bCs/>
        </w:rPr>
        <w:t xml:space="preserve">Personen in Haushalten</w:t>
      </w:r>
      <w:r>
        <w:t xml:space="preserve"> mit mindestens einem Steuerrückstand, nicht Schuldnerinnen und Schuldner. Der abgesetzte Teil eines Balkens ist ein </w:t>
      </w:r>
      <w:r>
        <w:rPr>
          <w:b/>
          <w:bCs/>
        </w:rPr>
        <w:t xml:space="preserve">Vertrauensbereich</w:t>
      </w:r>
      <w:r>
        <w:t xml:space="preserve">. Die Grafik enthält auch Zeilen zu Nationalität und Sprachregion: Sie gehören </w:t>
      </w:r>
      <w:r>
        <w:rPr>
          <w:b/>
          <w:bCs/>
        </w:rPr>
        <w:t xml:space="preserve">nicht zum Auftrag</w:t>
      </w:r>
      <w:r>
        <w:t xml:space="preserve"> (verortet sind Gesamt, Alter, Bildung, Erwerb) und sollen nicht als Erklärung gelesen werden. Sie zeigt, wer im Rückstand ist, nicht wie man in Schulden gerät; die Lösung zu LF3 nennt dafür die Zeile «Mit Ersatzquelle».</w:t>
      </w:r>
    </w:p>
    <w:p>
      <w:pPr>
        <w:pStyle w:val="ListParagraph"/>
        <w:numPr>
          <w:ilvl w:val="0"/>
          <w:numId w:val="2"/>
        </w:numPr>
        <w:spacing w:after="30" w:before="30" w:line="300"/>
        <w:ind w:left="280" w:hanging="280"/>
      </w:pPr>
      <w:r>
        <w:rPr>
          <w:b/>
          <w:bCs/>
        </w:rPr>
        <w:t xml:space="preserve">Vertiefung B1</w:t>
      </w:r>
      <w:r>
        <w:t xml:space="preserve"> nennt eine Zahl von </w:t>
      </w:r>
      <w:r>
        <w:rPr>
          <w:b/>
          <w:bCs/>
        </w:rPr>
        <w:t xml:space="preserve">2021</w:t>
      </w:r>
      <w:r>
        <w:t xml:space="preserve"> und ist in </w:t>
      </w:r>
      <w:r>
        <w:rPr>
          <w:b/>
          <w:bCs/>
        </w:rPr>
        <w:t xml:space="preserve">Mundart</w:t>
      </w:r>
      <w:r>
        <w:t xml:space="preserve">.</w:t>
      </w:r>
    </w:p>
    <w:p>
      <w:pPr>
        <w:pStyle w:val="ListParagraph"/>
        <w:numPr>
          <w:ilvl w:val="0"/>
          <w:numId w:val="2"/>
        </w:numPr>
        <w:spacing w:after="30" w:before="30" w:line="300"/>
        <w:ind w:left="280" w:hanging="280"/>
      </w:pPr>
      <w:r>
        <w:rPr>
          <w:b/>
          <w:bCs/>
        </w:rPr>
        <w:t xml:space="preserve">Vertiefung B2</w:t>
      </w:r>
      <w:r>
        <w:t xml:space="preserve"> ist eine amtliche Seite ohne Datum; die Fristen darin sind am Gesetz geprüft (Stand 1. Januar 2026). Sie lädt nur im Browser vollständig.</w:t>
      </w:r>
    </w:p>
    <w:tbl>
      <w:tblPr>
        <w:tblW w:type="pct" w:w="100%"/>
        <w:tblBorders>
          <w:top w:val="none" w:color="FFFFFF" w:sz="0"/>
          <w:left w:val="single" w:color="2A548C" w:sz="18"/>
          <w:bottom w:val="none" w:color="FFFFFF" w:sz="0"/>
          <w:right w:val="none" w:color="FFFFFF" w:sz="0"/>
          <w:insideH w:val="none" w:color="FFFFFF" w:sz="0"/>
          <w:insideV w:val="none" w:color="FFFFFF" w:sz="0"/>
        </w:tblBorders>
        <w:tblLayout w:type="fixed"/>
      </w:tblPr>
      <w:tblGrid>
        <w:gridCol w:w="100"/>
      </w:tblGrid>
      <w:tr>
        <w:tc>
          <w:tcPr>
            <w:shd w:fill="E8EEF7"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2A548C"/>
                <w:spacing w:val="12"/>
                <w:sz w:val="18"/>
                <w:szCs w:val="18"/>
              </w:rPr>
              <w:t xml:space="preserve">HINWEIS  ·  LINKS PFLEGEN</w:t>
            </w:r>
          </w:p>
          <w:p>
            <w:pPr>
              <w:spacing w:after="100" w:before="60" w:line="320"/>
            </w:pPr>
            <w:r>
              <w:t xml:space="preserve">Prüfe die Links </w:t>
            </w:r>
            <w:r>
              <w:rPr>
                <w:b/>
                <w:bCs/>
              </w:rPr>
              <w:t xml:space="preserve">halbjährlich</w:t>
            </w:r>
            <w:r>
              <w:t xml:space="preserve"> und vor jedem Einsatz der Medien-Spur. Fällt eine Quelle dauerhaft aus, wird die Karte in der Quellenkartei ersetzt und die Lösung zu LF3 neu geschrieben — die Tabelle hier zieht dann von selbst nach.</w:t>
            </w:r>
          </w:p>
        </w:tc>
      </w:tr>
    </w:tbl>
    <w:p>
      <w:pPr>
        <w:spacing w:after="0" w:before="0"/>
      </w:pPr>
      <w:r>
        <w:rPr>
          <w:sz w:val="8"/>
          <w:szCs w:val="8"/>
        </w:rPr>
        <w:t xml:space="preserve"/>
      </w:r>
    </w:p>
    <w:p>
      <w:pPr>
        <w:pStyle w:val="Heading2"/>
        <w:keepNext/>
        <w:pageBreakBefore/>
        <w:pBdr>
          <w:bottom w:val="single" w:color="80FF00" w:sz="18" w:space="6"/>
        </w:pBdr>
        <w:spacing w:after="160" w:before="0"/>
      </w:pPr>
      <w:bookmarkStart w:name="chap-6" w:id="1"/>
      <w:r>
        <w:rPr>
          <w:rFonts w:ascii="Source Serif 4" w:cs="Source Serif 4" w:eastAsia="Source Serif 4" w:hAnsi="Source Serif 4"/>
          <w:b/>
          <w:bCs/>
          <w:color w:val="1A1A1A"/>
          <w:sz w:val="36"/>
          <w:szCs w:val="36"/>
        </w:rPr>
        <w:t xml:space="preserve">6. Gemeinsamer Auftrag «Alle kommen ans Openair»</w:t>
      </w:r>
      <w:bookmarkEnd w:id="1"/>
    </w:p>
    <w:p>
      <w:pPr>
        <w:pStyle w:val="Heading3"/>
        <w:keepNext/>
        <w:spacing w:after="80" w:before="280"/>
      </w:pPr>
      <w:r>
        <w:rPr>
          <w:rFonts w:ascii="Source Serif 4" w:cs="Source Serif 4" w:eastAsia="Source Serif 4" w:hAnsi="Source Serif 4"/>
          <w:b/>
          <w:bCs/>
          <w:color w:val="1A1A1A"/>
          <w:sz w:val="26"/>
          <w:szCs w:val="26"/>
        </w:rPr>
        <w:t xml:space="preserve">Funktion</w:t>
      </w:r>
    </w:p>
    <w:p>
      <w:pPr>
        <w:spacing w:after="100" w:before="60" w:line="320"/>
      </w:pPr>
      <w:r>
        <w:t xml:space="preserve">Der gemeinsame Auftrag ist die </w:t>
      </w:r>
      <w:r>
        <w:rPr>
          <w:b/>
          <w:bCs/>
        </w:rPr>
        <w:t xml:space="preserve">Generalprobe mit Rückmeldung</w:t>
      </w:r>
      <w:r>
        <w:t xml:space="preserve">: ein neuer Fall in einem neuen Lebensbereich (</w:t>
      </w:r>
      <w:r>
        <w:t xml:space="preserve"/>
      </w:r>
      <w:r>
        <w:t xml:space="preserve">Freizeit und Freundeskreis</w:t>
      </w:r>
      <w:r>
        <w:t xml:space="preserve"/>
      </w:r>
      <w:r>
        <w:t xml:space="preserve">), der die Werkzeuge aus Heft A und Heft B verbindet. Er wird mit </w:t>
      </w:r>
      <w:r>
        <w:rPr>
          <w:b/>
          <w:bCs/>
        </w:rPr>
        <w:t xml:space="preserve">allen vier KN-Kriterien</w:t>
      </w:r>
      <w:r>
        <w:t xml:space="preserve"> zurückgemeldet, im selben Wortlaut und mit denselben Stufen wie im KN — aber </w:t>
      </w:r>
      <w:r>
        <w:rPr>
          <w:b/>
          <w:bCs/>
        </w:rPr>
        <w:t xml:space="preserve">ohne Note</w:t>
      </w:r>
      <w:r>
        <w:t xml:space="preserve">.</w:t>
      </w:r>
    </w:p>
    <w:p>
      <w:pPr>
        <w:pStyle w:val="ListParagraph"/>
        <w:numPr>
          <w:ilvl w:val="0"/>
          <w:numId w:val="2"/>
        </w:numPr>
        <w:spacing w:after="30" w:before="30" w:line="300"/>
        <w:ind w:left="280" w:hanging="280"/>
      </w:pPr>
      <w:r>
        <w:rPr>
          <w:b/>
          <w:bCs/>
        </w:rPr>
        <w:t xml:space="preserve">Gleiche Anforderung, anderer Fall:</w:t>
      </w:r>
      <w:r>
        <w:t xml:space="preserve"> Der Auftrag kombiniert A und B auf demselben Niveau wie der KN (K3–K4). Er ist weder ein vereinfachter noch ein vorweggenommener KN.</w:t>
      </w:r>
    </w:p>
    <w:p>
      <w:pPr>
        <w:pStyle w:val="ListParagraph"/>
        <w:numPr>
          <w:ilvl w:val="0"/>
          <w:numId w:val="2"/>
        </w:numPr>
        <w:spacing w:after="30" w:before="30" w:line="300"/>
        <w:ind w:left="280" w:hanging="280"/>
      </w:pPr>
      <w:r>
        <w:rPr>
          <w:b/>
          <w:bCs/>
        </w:rPr>
        <w:t xml:space="preserve">In beiden Spuren identisch:</w:t>
      </w:r>
      <w:r>
        <w:t xml:space="preserve"> Hier laufen die Spuren zusammen. Der Auftrag braucht kein Medium; alle Angaben stehen in der Situation.</w:t>
      </w:r>
    </w:p>
    <w:p>
      <w:pPr>
        <w:pStyle w:val="ListParagraph"/>
        <w:numPr>
          <w:ilvl w:val="0"/>
          <w:numId w:val="2"/>
        </w:numPr>
        <w:spacing w:after="30" w:before="30" w:line="300"/>
        <w:ind w:left="280" w:hanging="280"/>
      </w:pPr>
      <w:r>
        <w:rPr>
          <w:b/>
          <w:bCs/>
        </w:rPr>
        <w:t xml:space="preserve">Hefte erlaubt und erwünscht:</w:t>
      </w:r>
      <w:r>
        <w:t xml:space="preserve"> Der Kasten «Das brauchen Sie aus Ihren Heften» auf A1 nennt je Heft, was der Auftrag braucht, mit Seitenzahl. Der Verweis steht bewusst auf dem Auftragsbogen und nicht im Heft: So bleibt offen, wann und ob du den Auftrag einsetzt.</w:t>
      </w:r>
    </w:p>
    <w:p>
      <w:pPr>
        <w:pStyle w:val="ListParagraph"/>
        <w:numPr>
          <w:ilvl w:val="0"/>
          <w:numId w:val="2"/>
        </w:numPr>
        <w:spacing w:after="30" w:before="30" w:line="300"/>
        <w:ind w:left="280" w:hanging="280"/>
      </w:pPr>
      <w:r>
        <w:rPr>
          <w:b/>
          <w:bCs/>
        </w:rPr>
        <w:t xml:space="preserve">Sprachmodi:</w:t>
      </w:r>
      <w:r>
        <w:t xml:space="preserve"> Der Auftrag trägt genau die KN-Modi, die keines der Hefte abdeckt: </w:t>
      </w:r>
      <w:r>
        <w:t xml:space="preserve"/>
      </w:r>
      <w:r>
        <w:t xml:space="preserve">Produktion mündlich</w:t>
      </w:r>
      <w:r>
        <w:t xml:space="preserve"/>
      </w:r>
      <w:r>
        <w:t xml:space="preserve"> und </w:t>
      </w:r>
      <w:r>
        <w:t xml:space="preserve"/>
      </w:r>
      <w:r>
        <w:t xml:space="preserve">Produktion schriftlich und bildlich</w:t>
      </w:r>
      <w:r>
        <w:t xml:space="preserve"/>
      </w:r>
      <w:r>
        <w:t xml:space="preserve">.</w:t>
      </w:r>
    </w:p>
    <w:p>
      <w:pPr>
        <w:pStyle w:val="Heading3"/>
        <w:keepNext/>
        <w:spacing w:after="80" w:before="280"/>
      </w:pPr>
      <w:r>
        <w:rPr>
          <w:rFonts w:ascii="Source Serif 4" w:cs="Source Serif 4" w:eastAsia="Source Serif 4" w:hAnsi="Source Serif 4"/>
          <w:b/>
          <w:bCs/>
          <w:color w:val="1A1A1A"/>
          <w:sz w:val="26"/>
          <w:szCs w:val="26"/>
        </w:rPr>
        <w:t xml:space="preserve">Die Situation</w:t>
      </w:r>
    </w:p>
    <w:p>
      <w:r>
        <w:rPr>
          <w:color w:val="7A7A7A"/>
          <w:sz w:val="20"/>
          <w:szCs w:val="20"/>
        </w:rPr>
        <w:t xml:space="preserve">
</w:t>
      </w:r>
    </w:p>
    <w:tbl>
      <w:tblPr>
        <w:tblW w:type="pct" w:w="100%"/>
        <w:tblBorders>
          <w:top w:val="none" w:color="FFFFFF" w:sz="0"/>
          <w:left w:val="single" w:color="4A4A4A" w:sz="18"/>
          <w:bottom w:val="none" w:color="FFFFFF" w:sz="0"/>
          <w:right w:val="none" w:color="FFFFFF" w:sz="0"/>
          <w:insideH w:val="none" w:color="FFFFFF" w:sz="0"/>
          <w:insideV w:val="none" w:color="FFFFFF" w:sz="0"/>
        </w:tblBorders>
        <w:tblLayout w:type="fixed"/>
      </w:tblPr>
      <w:tblGrid>
        <w:gridCol w:w="100"/>
      </w:tblGrid>
      <w:tr>
        <w:tc>
          <w:tcPr>
            <w:shd w:fill="F7F6F1" w:color="auto" w:val="clear"/>
            <w:tcMar>
              <w:top w:type="dxa" w:w="120"/>
              <w:left w:type="dxa" w:w="220"/>
              <w:bottom w:type="dxa" w:w="120"/>
              <w:right w:type="dxa" w:w="180"/>
            </w:tcMar>
          </w:tcPr>
          <w:p>
            <w:pPr>
              <w:spacing w:after="100" w:before="60" w:line="320"/>
            </w:pPr>
            <w:r>
              <w:t xml:space="preserve">Ich bin im 1. Lehrjahr. In unserem Gruppenchat steht seit gestern: «Openair im Juli — alle kommen, Frühbucherpreis nur bis Sonntag!» Der 3-Tages-Pass kostet 260 Franken, dazu kommen Camping, Essen und Zug, zusammen rund 180 Franken. Ein Tagespass kostet 110 Franken. Auf meinem Sparkonto liegen 300 Franken; die habe ich für die Zahnarztrechnung im Herbst zurückgelegt. Mein Lohn reicht seit den Anpassungen knapp bis Monatsende. Zwei Kollegen haben schon gebucht und schreiben: «Ohne dich ist es nur halb so lustig.» Ich will bis Sonntag entscheiden — ganz, einen Tag oder gar nicht — und meinen Entscheid der Gruppe so erklären, dass ich dazu stehen kann.</w:t>
            </w:r>
          </w:p>
        </w:tc>
      </w:tr>
    </w:tbl>
    <w:p>
      <w:pPr>
        <w:spacing w:after="0" w:before="0"/>
      </w:pPr>
      <w:r>
        <w:rPr>
          <w:sz w:val="8"/>
          <w:szCs w:val="8"/>
        </w:rPr>
        <w:t xml:space="preserve"/>
      </w:r>
    </w:p>
    <w:p>
      <w:r>
        <w:rPr>
          <w:color w:val="7A7A7A"/>
          <w:sz w:val="20"/>
          <w:szCs w:val="20"/>
        </w:rPr>
        <w:t xml:space="preserve"/>
      </w:r>
    </w:p>
    <w:p>
      <w:pPr>
        <w:spacing w:after="100" w:before="60" w:line="320"/>
      </w:pPr>
      <w:r>
        <w:rPr>
          <w:b/>
          <w:bCs/>
        </w:rPr>
        <w:t xml:space="preserve">Leitfrage:</w:t>
      </w:r>
      <w:r>
        <w:t xml:space="preserve"> «</w:t>
      </w:r>
      <w:r>
        <w:t xml:space="preserve"/>
      </w:r>
      <w:r>
        <w:t xml:space="preserve">Gehe ich ans Openair — ganz, einen Tag oder gar nicht — und wie begründe ich meinen Entscheid vor mir und vor der Gruppe?</w:t>
      </w:r>
      <w:r>
        <w:t xml:space="preserve"/>
      </w:r>
      <w:r>
        <w:t xml:space="preserve">»</w:t>
      </w:r>
    </w:p>
    <w:p>
      <w:pPr>
        <w:spacing w:after="100" w:before="60" w:line="320"/>
      </w:pPr>
      <w:r>
        <w:rPr>
          <w:b/>
          <w:bCs/>
        </w:rPr>
        <w:t xml:space="preserve">Spannungsfeld:</w:t>
      </w:r>
      <w:r>
        <w:t xml:space="preserve"> </w:t>
      </w:r>
      <w:r>
        <w:t xml:space="preserve"/>
      </w:r>
      <w:r>
        <w:t xml:space="preserve">Dazugehören jetzt vs. Rückstellung für später</w:t>
      </w:r>
      <w:r>
        <w:t xml:space="preserve"/>
      </w:r>
      <w:r>
        <w:t xml:space="preserve">. Aktiviert werden zugleich:</w:t>
      </w:r>
    </w:p>
    <w:p>
      <w:r>
        <w:rPr>
          <w:color w:val="7A7A7A"/>
          <w:sz w:val="20"/>
          <w:szCs w:val="20"/>
        </w:rPr>
        <w:t xml:space="preserve">
</w:t>
      </w:r>
    </w:p>
    <w:p>
      <w:pPr>
        <w:pStyle w:val="ListParagraph"/>
        <w:numPr>
          <w:ilvl w:val="0"/>
          <w:numId w:val="2"/>
        </w:numPr>
        <w:spacing w:after="30" w:before="30" w:line="300"/>
        <w:ind w:left="280" w:hanging="280"/>
      </w:pPr>
      <w:r>
        <w:t xml:space="preserve">Eigener Massstab vs. sozialer Konsumdruck</w:t>
      </w:r>
    </w:p>
    <w:p>
      <w:pPr>
        <w:pStyle w:val="ListParagraph"/>
        <w:numPr>
          <w:ilvl w:val="0"/>
          <w:numId w:val="2"/>
        </w:numPr>
        <w:spacing w:after="30" w:before="30" w:line="300"/>
        <w:ind w:left="280" w:hanging="280"/>
      </w:pPr>
      <w:r>
        <w:t xml:space="preserve">Momentaner Wunsch vs. langfristige finanzielle Sicherheit</w:t>
      </w:r>
    </w:p>
    <w:p>
      <w:r>
        <w:rPr>
          <w:color w:val="7A7A7A"/>
          <w:sz w:val="20"/>
          <w:szCs w:val="20"/>
        </w:rPr>
        <w:t xml:space="preserve"/>
      </w:r>
    </w:p>
    <w:p>
      <w:pPr>
        <w:spacing w:after="100" w:before="60" w:line="320"/>
      </w:pPr>
      <w:r>
        <w:rPr>
          <w:b/>
          <w:bCs/>
        </w:rPr>
        <w:t xml:space="preserve">Auftrag an die Lernenden:</w:t>
      </w:r>
      <w:r>
        <w:t xml:space="preserve"> </w:t>
      </w:r>
      <w:r>
        <w:t xml:space="preserve"/>
      </w:r>
      <w:r>
        <w:t xml:space="preserve">Treffen Sie Ihren Entscheid mit den Werkzeugen aus Heft A und Heft B und erklären Sie ihn der Gruppe.</w:t>
      </w:r>
      <w:r>
        <w:t xml:space="preserve"/>
      </w:r>
    </w:p>
    <w:p>
      <w:pPr>
        <w:pStyle w:val="ListParagraph"/>
        <w:numPr>
          <w:ilvl w:val="0"/>
          <w:numId w:val="2"/>
        </w:numPr>
        <w:spacing w:after="30" w:before="30" w:line="300"/>
        <w:ind w:left="280" w:hanging="280"/>
      </w:pPr>
      <w:r>
        <w:t xml:space="preserve">Schritt </w:t>
      </w:r>
      <w:r>
        <w:t xml:space="preserve"/>
      </w:r>
      <w:r>
        <w:t xml:space="preserve">01 Bedürfnis klären</w:t>
      </w:r>
      <w:r>
        <w:t xml:space="preserve"/>
      </w:r>
      <w:r>
        <w:t xml:space="preserve">: </w:t>
      </w:r>
      <w:r>
        <w:t xml:space="preserve"/>
      </w:r>
      <w:r>
        <w:t xml:space="preserve">Welches Bedürfnis steckt hinter dem Wunsch, welcher Einfluss wirkt von aussen? Wenden Sie Ihren Massstab aus Heft A an.</w:t>
      </w:r>
      <w:r>
        <w:t xml:space="preserve"/>
      </w:r>
    </w:p>
    <w:p>
      <w:pPr>
        <w:pStyle w:val="ListParagraph"/>
        <w:numPr>
          <w:ilvl w:val="0"/>
          <w:numId w:val="2"/>
        </w:numPr>
        <w:spacing w:after="30" w:before="30" w:line="300"/>
        <w:ind w:left="280" w:hanging="280"/>
      </w:pPr>
      <w:r>
        <w:t xml:space="preserve">Schritt </w:t>
      </w:r>
      <w:r>
        <w:t xml:space="preserve"/>
      </w:r>
      <w:r>
        <w:t xml:space="preserve">02 Durchrechnen</w:t>
      </w:r>
      <w:r>
        <w:t xml:space="preserve"/>
      </w:r>
      <w:r>
        <w:t xml:space="preserve">: </w:t>
      </w:r>
      <w:r>
        <w:t xml:space="preserve"/>
      </w:r>
      <w:r>
        <w:t xml:space="preserve">Rechnen Sie die drei Varianten gegen Ihr Budget und Ihre Rückstellung (Heft B). Was passiert, wenn im Herbst die Zahnarztrechnung kommt?</w:t>
      </w:r>
      <w:r>
        <w:t xml:space="preserve"/>
      </w:r>
    </w:p>
    <w:p>
      <w:pPr>
        <w:pStyle w:val="ListParagraph"/>
        <w:numPr>
          <w:ilvl w:val="0"/>
          <w:numId w:val="2"/>
        </w:numPr>
        <w:spacing w:after="30" w:before="30" w:line="300"/>
        <w:ind w:left="280" w:hanging="280"/>
      </w:pPr>
      <w:r>
        <w:t xml:space="preserve">Schritt </w:t>
      </w:r>
      <w:r>
        <w:t xml:space="preserve"/>
      </w:r>
      <w:r>
        <w:t xml:space="preserve">03 Entscheiden</w:t>
      </w:r>
      <w:r>
        <w:t xml:space="preserve"/>
      </w:r>
      <w:r>
        <w:t xml:space="preserve">: </w:t>
      </w:r>
      <w:r>
        <w:t xml:space="preserve"/>
      </w:r>
      <w:r>
        <w:t xml:space="preserve">Wählen Sie eine Variante und eine Schutzregel aus Heft B, die dazu passt.</w:t>
      </w:r>
      <w:r>
        <w:t xml:space="preserve"/>
      </w:r>
    </w:p>
    <w:p>
      <w:pPr>
        <w:pStyle w:val="ListParagraph"/>
        <w:numPr>
          <w:ilvl w:val="0"/>
          <w:numId w:val="2"/>
        </w:numPr>
        <w:spacing w:after="30" w:before="30" w:line="300"/>
        <w:ind w:left="280" w:hanging="280"/>
      </w:pPr>
      <w:r>
        <w:t xml:space="preserve">Schritt </w:t>
      </w:r>
      <w:r>
        <w:t xml:space="preserve"/>
      </w:r>
      <w:r>
        <w:t xml:space="preserve">04 Entscheidungsblatt</w:t>
      </w:r>
      <w:r>
        <w:t xml:space="preserve"/>
      </w:r>
      <w:r>
        <w:t xml:space="preserve">: </w:t>
      </w:r>
      <w:r>
        <w:t xml:space="preserve"/>
      </w:r>
      <w:r>
        <w:t xml:space="preserve">Ein Blatt: Bedürfnis-Check · Rechnung der drei Varianten · Entscheid mit Begründung · Schutzregel.</w:t>
      </w:r>
      <w:r>
        <w:t xml:space="preserve"/>
      </w:r>
    </w:p>
    <w:p>
      <w:pPr>
        <w:pStyle w:val="ListParagraph"/>
        <w:numPr>
          <w:ilvl w:val="0"/>
          <w:numId w:val="2"/>
        </w:numPr>
        <w:spacing w:after="30" w:before="30" w:line="300"/>
        <w:ind w:left="280" w:hanging="280"/>
      </w:pPr>
      <w:r>
        <w:t xml:space="preserve">Schritt </w:t>
      </w:r>
      <w:r>
        <w:t xml:space="preserve"/>
      </w:r>
      <w:r>
        <w:t xml:space="preserve">05 Sprachnachricht</w:t>
      </w:r>
      <w:r>
        <w:t xml:space="preserve"/>
      </w:r>
      <w:r>
        <w:t xml:space="preserve">: </w:t>
      </w:r>
      <w:r>
        <w:t xml:space="preserve"/>
      </w:r>
      <w:r>
        <w:t xml:space="preserve">60–90 Sekunden an die Gruppe: Entscheid, ein Grund, der für Sie zählt, und ein Satz, der zeigt, dass Sie die Gruppe verstehen.</w:t>
      </w:r>
      <w:r>
        <w:t xml:space="preserve"/>
      </w:r>
    </w:p>
    <w:p>
      <w:pPr>
        <w:spacing w:after="100" w:before="60" w:line="320"/>
      </w:pPr>
      <w:r>
        <w:rPr>
          <w:b/>
          <w:bCs/>
        </w:rPr>
        <w:t xml:space="preserve">Abgaben</w:t>
      </w:r>
    </w:p>
    <w:p>
      <w:r>
        <w:rPr>
          <w:color w:val="7A7A7A"/>
          <w:sz w:val="20"/>
          <w:szCs w:val="20"/>
        </w:rPr>
        <w:t xml:space="preserve">
</w:t>
      </w:r>
    </w:p>
    <w:p>
      <w:pPr>
        <w:pStyle w:val="ListParagraph"/>
        <w:numPr>
          <w:ilvl w:val="0"/>
          <w:numId w:val="2"/>
        </w:numPr>
        <w:spacing w:after="30" w:before="30" w:line="300"/>
        <w:ind w:left="280" w:hanging="280"/>
      </w:pPr>
      <w:r>
        <w:t xml:space="preserve">Entscheidungsblatt A4 (schriftlich und bildlich)</w:t>
      </w:r>
    </w:p>
    <w:p>
      <w:pPr>
        <w:pStyle w:val="ListParagraph"/>
        <w:numPr>
          <w:ilvl w:val="0"/>
          <w:numId w:val="2"/>
        </w:numPr>
        <w:spacing w:after="30" w:before="30" w:line="300"/>
        <w:ind w:left="280" w:hanging="280"/>
      </w:pPr>
      <w:r>
        <w:t xml:space="preserve">Sprachnachricht 60–90 Sekunden: live oder als Aufnahme direkt an die Lehrperson</w:t>
      </w:r>
    </w:p>
    <w:p>
      <w:pPr>
        <w:pStyle w:val="ListParagraph"/>
        <w:numPr>
          <w:ilvl w:val="0"/>
          <w:numId w:val="2"/>
        </w:numPr>
        <w:spacing w:after="30" w:before="30" w:line="300"/>
        <w:ind w:left="280" w:hanging="280"/>
      </w:pPr>
      <w:r>
        <w:t xml:space="preserve">Selbsteinschätzung auf den 4 KN-Kriterien</w:t>
      </w:r>
    </w:p>
    <w:p>
      <w:r>
        <w:rPr>
          <w:color w:val="7A7A7A"/>
          <w:sz w:val="20"/>
          <w:szCs w:val="20"/>
        </w:rPr>
        <w:t xml:space="preserve"/>
      </w:r>
    </w:p>
    <w:tbl>
      <w:tblPr>
        <w:tblW w:type="pct" w:w="100%"/>
        <w:tblBorders>
          <w:top w:val="single" w:color="A07A14" w:sz="8"/>
          <w:left w:val="single" w:color="A07A14" w:sz="40"/>
          <w:bottom w:val="single" w:color="A07A14" w:sz="8"/>
          <w:right w:val="single" w:color="A07A14" w:sz="8"/>
          <w:insideH w:val="none" w:color="FFFFFF" w:sz="0"/>
          <w:insideV w:val="none" w:color="FFFFFF" w:sz="0"/>
        </w:tblBorders>
        <w:tblLayout w:type="fixed"/>
      </w:tblPr>
      <w:tblGrid>
        <w:gridCol w:w="100"/>
      </w:tblGrid>
      <w:tr>
        <w:tc>
          <w:tcPr>
            <w:shd w:fill="A07A14" w:color="auto" w:val="clear"/>
            <w:tcMar>
              <w:top w:type="dxa" w:w="70"/>
              <w:left w:type="dxa" w:w="220"/>
              <w:bottom w:type="dxa" w:w="70"/>
              <w:right w:type="dxa" w:w="180"/>
            </w:tcMar>
          </w:tcPr>
          <w:p>
            <w:pPr>
              <w:spacing w:after="0" w:before="0"/>
            </w:pPr>
            <w:r>
              <w:rPr>
                <w:rFonts w:ascii="Source Sans 3" w:cs="Source Sans 3" w:eastAsia="Source Sans 3" w:hAnsi="Source Sans 3"/>
                <w:b/>
                <w:bCs/>
                <w:color w:val="FFFFFF"/>
                <w:spacing w:val="16"/>
                <w:sz w:val="21"/>
                <w:szCs w:val="21"/>
              </w:rPr>
              <w:t xml:space="preserve">COACHING-MOVE  ·  DIE RECHNUNG HAT EINE OFFENE STELLE</w:t>
            </w:r>
          </w:p>
        </w:tc>
      </w:tr>
      <w:tr>
        <w:tc>
          <w:tcPr>
            <w:shd w:fill="FDF5E1" w:color="auto" w:val="clear"/>
            <w:tcMar>
              <w:top w:type="dxa" w:w="150"/>
              <w:left w:type="dxa" w:w="220"/>
              <w:bottom w:type="dxa" w:w="150"/>
              <w:right w:type="dxa" w:w="180"/>
            </w:tcMar>
          </w:tcPr>
          <w:p>
            <w:pPr>
              <w:spacing w:after="100" w:before="60" w:line="320"/>
            </w:pPr>
            <w:r>
              <w:t xml:space="preserve">Ganz hinzugehen kostet 260 + 180 = 440 Franken — mehr als die 300 Franken auf dem Sparkonto. Für den Tagespass nennt die Situation nur den Pass selbst (110 Franken); Zug und Essen für einen Tag schätzen die Lernenden. Eine begründete Schätzung genügt, sie muss aber auf dem Entscheidungsblatt stehen.</w:t>
            </w:r>
          </w:p>
        </w:tc>
      </w:tr>
    </w:tbl>
    <w:p>
      <w:pPr>
        <w:spacing w:after="0" w:before="0"/>
      </w:pPr>
      <w:r>
        <w:rPr>
          <w:sz w:val="8"/>
          <w:szCs w:val="8"/>
        </w:rPr>
        <w:t xml:space="preserve"/>
      </w:r>
    </w:p>
    <w:p>
      <w:pPr>
        <w:pStyle w:val="Heading3"/>
        <w:keepNext/>
        <w:spacing w:after="80" w:before="280"/>
      </w:pPr>
      <w:r>
        <w:rPr>
          <w:rFonts w:ascii="Source Serif 4" w:cs="Source Serif 4" w:eastAsia="Source Serif 4" w:hAnsi="Source Serif 4"/>
          <w:b/>
          <w:bCs/>
          <w:color w:val="1A1A1A"/>
          <w:sz w:val="26"/>
          <w:szCs w:val="26"/>
        </w:rPr>
        <w:t xml:space="preserve">Ablauf über drei Lektionen (Vorschlag)</w:t>
      </w:r>
    </w:p>
    <w:p>
      <w:pPr>
        <w:spacing w:after="100" w:before="60" w:line="320"/>
      </w:pPr>
      <w:r>
        <w:t xml:space="preserve">Der Auftragsbogen hat vier Seiten: </w:t>
      </w:r>
      <w:r>
        <w:rPr>
          <w:b/>
          <w:bCs/>
        </w:rPr>
        <w:t xml:space="preserve">A1</w:t>
      </w:r>
      <w:r>
        <w:t xml:space="preserve"> Situation, Zahlen, Leitfrage, Spannungsfeld, Auftrag, Schritte, Abgaben, Sozialform und der Bezug auf die Hefte · </w:t>
      </w:r>
      <w:r>
        <w:rPr>
          <w:b/>
          <w:bCs/>
        </w:rPr>
        <w:t xml:space="preserve">A2</w:t>
      </w:r>
      <w:r>
        <w:t xml:space="preserve"> Arbeitsfläche für das Entscheidungsblatt · </w:t>
      </w:r>
      <w:r>
        <w:rPr>
          <w:b/>
          <w:bCs/>
        </w:rPr>
        <w:t xml:space="preserve">A3</w:t>
      </w:r>
      <w:r>
        <w:t xml:space="preserve"> Planung der Sprachnachricht (das Glossar steht neu in jedem Heft auf S. 8, nicht mehr auf dem Bogen) · </w:t>
      </w:r>
      <w:r>
        <w:rPr>
          <w:b/>
          <w:bCs/>
        </w:rPr>
        <w:t xml:space="preserve">A4</w:t>
      </w:r>
      <w:r>
        <w:t xml:space="preserve"> Selbsteinschätzung mit den vier KN-Kriterien, Spalten «Selbst» und «Fremd» und den Zeilen «Das verbessere ich …» und «Rückmeldung, die ich erhalten habe».</w:t>
      </w:r>
    </w:p>
    <w:tbl>
      <w:tblPr>
        <w:tblW w:type="pct" w:w="100%"/>
        <w:tblBorders>
          <w:top w:val="single" w:color="DCDCDC" w:sz="4"/>
          <w:left w:val="single" w:color="DCDCDC" w:sz="4"/>
          <w:bottom w:val="single" w:color="DCDCDC" w:sz="4"/>
          <w:right w:val="single" w:color="DCDCDC" w:sz="4"/>
          <w:insideH w:val="single" w:color="DCDCDC" w:sz="4"/>
          <w:insideV w:val="single" w:color="DCDCDC" w:sz="4"/>
        </w:tblBorders>
        <w:tblLayout w:type="fixed"/>
      </w:tblPr>
      <w:tblGrid>
        <w:gridCol w:w="100"/>
        <w:gridCol w:w="100"/>
        <w:gridCol w:w="100"/>
        <w:gridCol w:w="100"/>
      </w:tblGrid>
      <w:tr>
        <w:trPr>
          <w:tblHeader/>
        </w:trPr>
        <w:tc>
          <w:tcPr>
            <w:shd w:fill="1A1A1A" w:color="auto" w:val="clear"/>
            <w:tcMar>
              <w:top w:type="dxa" w:w="80"/>
              <w:left w:type="dxa" w:w="120"/>
              <w:bottom w:type="dxa" w:w="80"/>
              <w:right w:type="dxa" w:w="120"/>
            </w:tcMar>
          </w:tcPr>
          <w:p>
            <w:pPr>
              <w:spacing w:after="0" w:before="0"/>
            </w:pPr>
            <w:r>
              <w:rPr>
                <w:b/>
                <w:bCs/>
                <w:color w:val="FFFFFF"/>
                <w:sz w:val="19"/>
                <w:szCs w:val="19"/>
              </w:rPr>
              <w:t xml:space="preserve">Lektion</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Was geschieht</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Bogen</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Sozialform</w:t>
            </w:r>
          </w:p>
        </w:tc>
      </w:tr>
      <w:tr>
        <w:tc>
          <w:tcPr>
            <w:tcMar>
              <w:top w:type="dxa" w:w="70"/>
              <w:left w:type="dxa" w:w="120"/>
              <w:bottom w:type="dxa" w:w="70"/>
              <w:right w:type="dxa" w:w="120"/>
            </w:tcMar>
          </w:tcPr>
          <w:p>
            <w:pPr>
              <w:spacing w:after="0" w:before="0"/>
            </w:pPr>
            <w:r>
              <w:rPr>
                <w:b w:val="false"/>
                <w:bCs w:val="false"/>
                <w:sz w:val="20"/>
                <w:szCs w:val="20"/>
              </w:rPr>
              <w:t xml:space="preserve">1</w:t>
            </w:r>
          </w:p>
        </w:tc>
        <w:tc>
          <w:tcPr>
            <w:tcMar>
              <w:top w:type="dxa" w:w="70"/>
              <w:left w:type="dxa" w:w="120"/>
              <w:bottom w:type="dxa" w:w="70"/>
              <w:right w:type="dxa" w:w="120"/>
            </w:tcMar>
          </w:tcPr>
          <w:p>
            <w:pPr>
              <w:spacing w:after="0" w:before="0"/>
            </w:pPr>
            <w:r>
              <w:rPr>
                <w:b w:val="false"/>
                <w:bCs w:val="false"/>
                <w:sz w:val="20"/>
                <w:szCs w:val="20"/>
              </w:rPr>
              <w:t xml:space="preserve">Situation lesen, Bedürfnis klären, drei Varianten durchrechnen, Entscheidungsblatt</w:t>
            </w:r>
          </w:p>
        </w:tc>
        <w:tc>
          <w:tcPr>
            <w:tcMar>
              <w:top w:type="dxa" w:w="70"/>
              <w:left w:type="dxa" w:w="120"/>
              <w:bottom w:type="dxa" w:w="70"/>
              <w:right w:type="dxa" w:w="120"/>
            </w:tcMar>
          </w:tcPr>
          <w:p>
            <w:pPr>
              <w:spacing w:after="0" w:before="0"/>
            </w:pPr>
            <w:r>
              <w:rPr>
                <w:b w:val="false"/>
                <w:bCs w:val="false"/>
                <w:sz w:val="20"/>
                <w:szCs w:val="20"/>
              </w:rPr>
              <w:t xml:space="preserve">A1–A2</w:t>
            </w:r>
          </w:p>
        </w:tc>
        <w:tc>
          <w:tcPr>
            <w:tcMar>
              <w:top w:type="dxa" w:w="70"/>
              <w:left w:type="dxa" w:w="120"/>
              <w:bottom w:type="dxa" w:w="70"/>
              <w:right w:type="dxa" w:w="120"/>
            </w:tcMar>
          </w:tcPr>
          <w:p>
            <w:pPr>
              <w:spacing w:after="0" w:before="0"/>
            </w:pPr>
            <w:r>
              <w:rPr>
                <w:b w:val="false"/>
                <w:bCs w:val="false"/>
                <w:sz w:val="20"/>
                <w:szCs w:val="20"/>
              </w:rPr>
              <w:t xml:space="preserve">einzeln</w:t>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2</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Sprachnachricht planen, vortragen oder aufnehmen; Selbsteinschätzung auf den vier Kriterien</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A3–A4</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einzeln</w:t>
            </w:r>
          </w:p>
        </w:tc>
      </w:tr>
      <w:tr>
        <w:tc>
          <w:tcPr>
            <w:tcMar>
              <w:top w:type="dxa" w:w="70"/>
              <w:left w:type="dxa" w:w="120"/>
              <w:bottom w:type="dxa" w:w="70"/>
              <w:right w:type="dxa" w:w="120"/>
            </w:tcMar>
          </w:tcPr>
          <w:p>
            <w:pPr>
              <w:spacing w:after="0" w:before="0"/>
            </w:pPr>
            <w:r>
              <w:rPr>
                <w:b w:val="false"/>
                <w:bCs w:val="false"/>
                <w:sz w:val="20"/>
                <w:szCs w:val="20"/>
              </w:rPr>
              <w:t xml:space="preserve">3</w:t>
            </w:r>
          </w:p>
        </w:tc>
        <w:tc>
          <w:tcPr>
            <w:tcMar>
              <w:top w:type="dxa" w:w="70"/>
              <w:left w:type="dxa" w:w="120"/>
              <w:bottom w:type="dxa" w:w="70"/>
              <w:right w:type="dxa" w:w="120"/>
            </w:tcMar>
          </w:tcPr>
          <w:p>
            <w:pPr>
              <w:spacing w:after="0" w:before="0"/>
            </w:pPr>
            <w:r>
              <w:rPr>
                <w:b w:val="false"/>
                <w:bCs w:val="false"/>
                <w:sz w:val="20"/>
                <w:szCs w:val="20"/>
              </w:rPr>
              <w:t xml:space="preserve">Rückmeldung von dir und von der Partnerin oder dem Partner, Verbesserung</w:t>
            </w:r>
          </w:p>
        </w:tc>
        <w:tc>
          <w:tcPr>
            <w:tcMar>
              <w:top w:type="dxa" w:w="70"/>
              <w:left w:type="dxa" w:w="120"/>
              <w:bottom w:type="dxa" w:w="70"/>
              <w:right w:type="dxa" w:w="120"/>
            </w:tcMar>
          </w:tcPr>
          <w:p>
            <w:pPr>
              <w:spacing w:after="0" w:before="0"/>
            </w:pPr>
            <w:r>
              <w:rPr>
                <w:b w:val="false"/>
                <w:bCs w:val="false"/>
                <w:sz w:val="20"/>
                <w:szCs w:val="20"/>
              </w:rPr>
              <w:t xml:space="preserve">A4</w:t>
            </w:r>
          </w:p>
        </w:tc>
        <w:tc>
          <w:tcPr>
            <w:tcMar>
              <w:top w:type="dxa" w:w="70"/>
              <w:left w:type="dxa" w:w="120"/>
              <w:bottom w:type="dxa" w:w="70"/>
              <w:right w:type="dxa" w:w="120"/>
            </w:tcMar>
          </w:tcPr>
          <w:p>
            <w:pPr>
              <w:spacing w:after="0" w:before="0"/>
            </w:pPr>
            <w:r>
              <w:rPr>
                <w:b w:val="false"/>
                <w:bCs w:val="false"/>
                <w:sz w:val="20"/>
                <w:szCs w:val="20"/>
              </w:rPr>
              <w:t xml:space="preserve">zu zweit, dann einzeln</w:t>
            </w:r>
          </w:p>
        </w:tc>
      </w:tr>
    </w:tbl>
    <w:p>
      <w:pPr>
        <w:spacing w:after="0" w:before="0"/>
      </w:pPr>
      <w:r>
        <w:rPr>
          <w:sz w:val="8"/>
          <w:szCs w:val="8"/>
        </w:rPr>
        <w:t xml:space="preserve"/>
      </w:r>
    </w:p>
    <w:tbl>
      <w:tblPr>
        <w:tblW w:type="pct" w:w="100%"/>
        <w:tblBorders>
          <w:top w:val="none" w:color="FFFFFF" w:sz="0"/>
          <w:left w:val="single" w:color="2A548C" w:sz="18"/>
          <w:bottom w:val="none" w:color="FFFFFF" w:sz="0"/>
          <w:right w:val="none" w:color="FFFFFF" w:sz="0"/>
          <w:insideH w:val="none" w:color="FFFFFF" w:sz="0"/>
          <w:insideV w:val="none" w:color="FFFFFF" w:sz="0"/>
        </w:tblBorders>
        <w:tblLayout w:type="fixed"/>
      </w:tblPr>
      <w:tblGrid>
        <w:gridCol w:w="100"/>
      </w:tblGrid>
      <w:tr>
        <w:tc>
          <w:tcPr>
            <w:shd w:fill="E8EEF7"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2A548C"/>
                <w:spacing w:val="12"/>
                <w:sz w:val="18"/>
                <w:szCs w:val="18"/>
              </w:rPr>
              <w:t xml:space="preserve">HINWEIS  ·  SOZIALFORM</w:t>
            </w:r>
          </w:p>
          <w:p>
            <w:pPr>
              <w:spacing w:after="100" w:before="60" w:line="320"/>
            </w:pPr>
            <w:r>
              <w:t xml:space="preserve">Der Auftrag enthält nur Produktionsmodi, keinen Interaktionsmodus. Darum ist die Sozialform frei — Einzel-, Partner- oder Gruppenarbeit —, das Produkt bleibt aber individuell. Empfehlung: </w:t>
            </w:r>
            <w:r>
              <w:t xml:space="preserve"/>
            </w:r>
            <w:r>
              <w:t xml:space="preserve">Einzelarbeit für das Produkt, danach Partner-Rückmeldung: Die Partnerin hört die Sprachnachricht und schätzt sie auf «Argumentation» und «Position / Werthaltung» ein.</w:t>
            </w:r>
            <w:r>
              <w:t xml:space="preserve"/>
            </w:r>
          </w:p>
        </w:tc>
      </w:tr>
    </w:tbl>
    <w:p>
      <w:pPr>
        <w:spacing w:after="0" w:before="0"/>
      </w:pPr>
      <w:r>
        <w:rPr>
          <w:sz w:val="8"/>
          <w:szCs w:val="8"/>
        </w:rPr>
        <w:t xml:space="preserve"/>
      </w:r>
    </w:p>
    <w:p>
      <w:pPr>
        <w:pStyle w:val="Heading3"/>
        <w:keepNext/>
        <w:spacing w:after="80" w:before="280"/>
      </w:pPr>
      <w:r>
        <w:rPr>
          <w:rFonts w:ascii="Source Serif 4" w:cs="Source Serif 4" w:eastAsia="Source Serif 4" w:hAnsi="Source Serif 4"/>
          <w:b/>
          <w:bCs/>
          <w:color w:val="1A1A1A"/>
          <w:sz w:val="26"/>
          <w:szCs w:val="26"/>
        </w:rPr>
        <w:t xml:space="preserve">Die Sprachnachricht</w:t>
      </w:r>
    </w:p>
    <w:p>
      <w:pPr>
        <w:spacing w:after="100" w:before="60" w:line="320"/>
      </w:pPr>
      <w:r>
        <w:t xml:space="preserve">Die Sprachnachricht richtet sich an die Gruppe im Chat: 60–90 Sekunden, der Entscheid, ein Grund, der für die Person zählt, und ein Satz, der zeigt, dass sie die Gruppe versteht. Kein Vortrag, keine Rechtfertigung.</w:t>
      </w:r>
    </w:p>
    <w:p>
      <w:pPr>
        <w:pStyle w:val="ListParagraph"/>
        <w:numPr>
          <w:ilvl w:val="0"/>
          <w:numId w:val="2"/>
        </w:numPr>
        <w:spacing w:after="30" w:before="30" w:line="300"/>
        <w:ind w:left="280" w:hanging="280"/>
      </w:pPr>
      <w:r>
        <w:t xml:space="preserve">Sie wird </w:t>
      </w:r>
      <w:r>
        <w:rPr>
          <w:b/>
          <w:bCs/>
        </w:rPr>
        <w:t xml:space="preserve">live</w:t>
      </w:r>
      <w:r>
        <w:t xml:space="preserve"> vorgetragen oder </w:t>
      </w:r>
      <w:r>
        <w:rPr>
          <w:b/>
          <w:bCs/>
        </w:rPr>
        <w:t xml:space="preserve">als Aufnahme direkt an dich</w:t>
      </w:r>
      <w:r>
        <w:t xml:space="preserve"> geschickt.</w:t>
      </w:r>
    </w:p>
    <w:p>
      <w:pPr>
        <w:pStyle w:val="ListParagraph"/>
        <w:numPr>
          <w:ilvl w:val="0"/>
          <w:numId w:val="2"/>
        </w:numPr>
        <w:spacing w:after="30" w:before="30" w:line="300"/>
        <w:ind w:left="280" w:hanging="280"/>
      </w:pPr>
      <w:r>
        <w:rPr>
          <w:b/>
          <w:bCs/>
        </w:rPr>
        <w:t xml:space="preserve">Nichts wird auf die Plattform geladen.</w:t>
      </w:r>
      <w:r>
        <w:t xml:space="preserve"> Eine Aufnahme geht direkt an dich.</w:t>
      </w:r>
    </w:p>
    <w:p>
      <w:pPr>
        <w:pStyle w:val="Heading3"/>
        <w:keepNext/>
        <w:spacing w:after="80" w:before="280"/>
      </w:pPr>
      <w:r>
        <w:rPr>
          <w:rFonts w:ascii="Source Serif 4" w:cs="Source Serif 4" w:eastAsia="Source Serif 4" w:hAnsi="Source Serif 4"/>
          <w:b/>
          <w:bCs/>
          <w:color w:val="1A1A1A"/>
          <w:sz w:val="26"/>
          <w:szCs w:val="26"/>
        </w:rPr>
        <w:t xml:space="preserve">Kriterien und Indikatoren</w:t>
      </w:r>
    </w:p>
    <w:p>
      <w:pPr>
        <w:spacing w:after="100" w:before="60" w:line="320"/>
      </w:pPr>
      <w:r>
        <w:t xml:space="preserve">Die vier Kriterien stehen auf A4 im Wortlaut des KN, mit denselben vier Stufen (Kap. 7). Woran du sie im Auftrag erkennst:</w:t>
      </w:r>
    </w:p>
    <w:tbl>
      <w:tblPr>
        <w:tblW w:type="pct" w:w="100%"/>
        <w:tblBorders>
          <w:top w:val="single" w:color="DCDCDC" w:sz="4"/>
          <w:left w:val="single" w:color="DCDCDC" w:sz="4"/>
          <w:bottom w:val="single" w:color="DCDCDC" w:sz="4"/>
          <w:right w:val="single" w:color="DCDCDC" w:sz="4"/>
          <w:insideH w:val="single" w:color="DCDCDC" w:sz="4"/>
          <w:insideV w:val="single" w:color="DCDCDC" w:sz="4"/>
        </w:tblBorders>
        <w:tblLayout w:type="fixed"/>
      </w:tblPr>
      <w:tblGrid>
        <w:gridCol w:w="100"/>
        <w:gridCol w:w="100"/>
        <w:gridCol w:w="100"/>
      </w:tblGrid>
      <w:tr>
        <w:trPr>
          <w:tblHeader/>
        </w:trPr>
        <w:tc>
          <w:tcPr>
            <w:shd w:fill="1A1A1A" w:color="auto" w:val="clear"/>
            <w:tcMar>
              <w:top w:type="dxa" w:w="80"/>
              <w:left w:type="dxa" w:w="120"/>
              <w:bottom w:type="dxa" w:w="80"/>
              <w:right w:type="dxa" w:w="120"/>
            </w:tcMar>
          </w:tcPr>
          <w:p>
            <w:pPr>
              <w:spacing w:after="0" w:before="0"/>
            </w:pPr>
            <w:r>
              <w:rPr>
                <w:b/>
                <w:bCs/>
                <w:color w:val="FFFFFF"/>
                <w:sz w:val="19"/>
                <w:szCs w:val="19"/>
              </w:rPr>
              <w:t xml:space="preserve">Kriterium</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Dim.</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Indikator im Auftrag</w:t>
            </w:r>
          </w:p>
        </w:tc>
      </w:tr>
      <w:tr>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Fachkorrektheit</w:t>
            </w:r>
            <w:r>
              <w:rPr>
                <w:b w:val="false"/>
                <w:bCs w:val="false"/>
                <w:sz w:val="20"/>
                <w:szCs w:val="20"/>
              </w:rPr>
              <w:t xml:space="preserve"/>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SuK</w:t>
            </w:r>
            <w:r>
              <w:rPr>
                <w:b w:val="false"/>
                <w:bCs w:val="false"/>
                <w:sz w:val="20"/>
                <w:szCs w:val="20"/>
              </w:rPr>
              <w:t xml:space="preserve"/>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Bedürfnis, Wahlbedürfnis, Rückstellung, Saldo korrekt verwendet.</w:t>
            </w:r>
            <w:r>
              <w:rPr>
                <w:b w:val="false"/>
                <w:bCs w:val="false"/>
                <w:sz w:val="20"/>
                <w:szCs w:val="20"/>
              </w:rPr>
              <w:t xml:space="preserve"/>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Argumentation</w:t>
            </w:r>
            <w:r>
              <w:rPr>
                <w:b w:val="false"/>
                <w:bCs w:val="false"/>
                <w:sz w:val="20"/>
                <w:szCs w:val="20"/>
              </w:rPr>
              <w:t xml:space="preserve"/>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SuK</w:t>
            </w:r>
            <w:r>
              <w:rPr>
                <w:b w:val="false"/>
                <w:bCs w:val="false"/>
                <w:sz w:val="20"/>
                <w:szCs w:val="20"/>
              </w:rPr>
              <w:t xml:space="preserve"/>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Entscheid mit Grund; die Sicht der Gruppe wird ernst genommen.</w:t>
            </w:r>
            <w:r>
              <w:rPr>
                <w:b w:val="false"/>
                <w:bCs w:val="false"/>
                <w:sz w:val="20"/>
                <w:szCs w:val="20"/>
              </w:rPr>
              <w:t xml:space="preserve"/>
            </w:r>
          </w:p>
        </w:tc>
      </w:tr>
      <w:tr>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Wirtschaftliches Prinzip</w:t>
            </w:r>
            <w:r>
              <w:rPr>
                <w:b w:val="false"/>
                <w:bCs w:val="false"/>
                <w:sz w:val="20"/>
                <w:szCs w:val="20"/>
              </w:rPr>
              <w:t xml:space="preserve"/>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Ges</w:t>
            </w:r>
            <w:r>
              <w:rPr>
                <w:b w:val="false"/>
                <w:bCs w:val="false"/>
                <w:sz w:val="20"/>
                <w:szCs w:val="20"/>
              </w:rPr>
              <w:t xml:space="preserve"/>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Drei Varianten gegen Budget und Rückstellung gerechnet; Folge für den Herbst benannt.</w:t>
            </w:r>
            <w:r>
              <w:rPr>
                <w:b w:val="false"/>
                <w:bCs w:val="false"/>
                <w:sz w:val="20"/>
                <w:szCs w:val="20"/>
              </w:rPr>
              <w:t xml:space="preserve"/>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Position / Werthaltung</w:t>
            </w:r>
            <w:r>
              <w:rPr>
                <w:b w:val="false"/>
                <w:bCs w:val="false"/>
                <w:sz w:val="20"/>
                <w:szCs w:val="20"/>
              </w:rPr>
              <w:t xml:space="preserve"/>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Ges</w:t>
            </w:r>
            <w:r>
              <w:rPr>
                <w:b w:val="false"/>
                <w:bCs w:val="false"/>
                <w:sz w:val="20"/>
                <w:szCs w:val="20"/>
              </w:rPr>
              <w:t xml:space="preserve"/>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Entscheid in Ich-Form; Spannung Dazugehören ↔ Sicherheit anerkannt.</w:t>
            </w:r>
            <w:r>
              <w:rPr>
                <w:b w:val="false"/>
                <w:bCs w:val="false"/>
                <w:sz w:val="20"/>
                <w:szCs w:val="20"/>
              </w:rPr>
              <w:t xml:space="preserve"/>
            </w:r>
          </w:p>
        </w:tc>
      </w:tr>
    </w:tbl>
    <w:p>
      <w:pPr>
        <w:spacing w:after="0" w:before="0"/>
      </w:pPr>
      <w:r>
        <w:rPr>
          <w:sz w:val="8"/>
          <w:szCs w:val="8"/>
        </w:rPr>
        <w:t xml:space="preserve"/>
      </w:r>
    </w:p>
    <w:p>
      <w:pPr>
        <w:pStyle w:val="Heading3"/>
        <w:keepNext/>
        <w:spacing w:after="80" w:before="280"/>
      </w:pPr>
      <w:r>
        <w:rPr>
          <w:rFonts w:ascii="Source Serif 4" w:cs="Source Serif 4" w:eastAsia="Source Serif 4" w:hAnsi="Source Serif 4"/>
          <w:b/>
          <w:bCs/>
          <w:color w:val="1A1A1A"/>
          <w:sz w:val="26"/>
          <w:szCs w:val="26"/>
        </w:rPr>
        <w:t xml:space="preserve">Erwartungshorizont</w:t>
      </w:r>
    </w:p>
    <w:tbl>
      <w:tblPr>
        <w:tblW w:type="pct" w:w="100%"/>
        <w:tblBorders>
          <w:top w:val="none" w:color="FFFFFF" w:sz="0"/>
          <w:left w:val="single" w:color="A12061" w:sz="18"/>
          <w:bottom w:val="none" w:color="FFFFFF" w:sz="0"/>
          <w:right w:val="none" w:color="FFFFFF" w:sz="0"/>
          <w:insideH w:val="none" w:color="FFFFFF" w:sz="0"/>
          <w:insideV w:val="none" w:color="FFFFFF" w:sz="0"/>
        </w:tblBorders>
        <w:tblLayout w:type="fixed"/>
      </w:tblPr>
      <w:tblGrid>
        <w:gridCol w:w="100"/>
      </w:tblGrid>
      <w:tr>
        <w:tc>
          <w:tcPr>
            <w:shd w:fill="FBE7F1"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A12061"/>
                <w:spacing w:val="12"/>
                <w:sz w:val="18"/>
                <w:szCs w:val="18"/>
              </w:rPr>
              <w:t xml:space="preserve">ERWARTUNGSHORIZONT  ·  GEMEINSAMER AUFTRAG — ALLE DREI VARIANTEN SIND VERTRETBAR</w:t>
            </w:r>
          </w:p>
          <w:p>
            <w:pPr>
              <w:pStyle w:val="ListParagraph"/>
              <w:numPr>
                <w:ilvl w:val="0"/>
                <w:numId w:val="2"/>
              </w:numPr>
              <w:spacing w:after="30" w:before="30" w:line="300"/>
              <w:ind w:left="280" w:hanging="280"/>
            </w:pPr>
            <w:r>
              <w:rPr>
                <w:b/>
                <w:bCs/>
              </w:rPr>
              <w:t xml:space="preserve">Gut, wenn:</w:t>
            </w:r>
            <w:r>
              <w:t xml:space="preserve"> </w:t>
            </w:r>
            <w:r>
              <w:t xml:space="preserve"/>
            </w:r>
            <w:r>
              <w:t xml:space="preserve">Alle drei Varianten sind gerechnet, die Folge für den Herbst ist benannt.</w:t>
            </w:r>
            <w:r>
              <w:t xml:space="preserve"/>
            </w:r>
          </w:p>
          <w:p>
            <w:pPr>
              <w:pStyle w:val="ListParagraph"/>
              <w:numPr>
                <w:ilvl w:val="0"/>
                <w:numId w:val="2"/>
              </w:numPr>
              <w:spacing w:after="30" w:before="30" w:line="300"/>
              <w:ind w:left="280" w:hanging="280"/>
            </w:pPr>
            <w:r>
              <w:rPr>
                <w:b/>
                <w:bCs/>
              </w:rPr>
              <w:t xml:space="preserve">Gut, wenn:</w:t>
            </w:r>
            <w:r>
              <w:t xml:space="preserve"> </w:t>
            </w:r>
            <w:r>
              <w:t xml:space="preserve"/>
            </w:r>
            <w:r>
              <w:t xml:space="preserve">Bedürfnis und Einfluss (Gruppe) sind getrennt.</w:t>
            </w:r>
            <w:r>
              <w:t xml:space="preserve"/>
            </w:r>
          </w:p>
          <w:p>
            <w:pPr>
              <w:pStyle w:val="ListParagraph"/>
              <w:numPr>
                <w:ilvl w:val="0"/>
                <w:numId w:val="2"/>
              </w:numPr>
              <w:spacing w:after="30" w:before="30" w:line="300"/>
              <w:ind w:left="280" w:hanging="280"/>
            </w:pPr>
            <w:r>
              <w:rPr>
                <w:b/>
                <w:bCs/>
              </w:rPr>
              <w:t xml:space="preserve">Gut, wenn:</w:t>
            </w:r>
            <w:r>
              <w:t xml:space="preserve"> </w:t>
            </w:r>
            <w:r>
              <w:t xml:space="preserve"/>
            </w:r>
            <w:r>
              <w:t xml:space="preserve">Der Entscheid folgt aus Massstab und Rechnung; die Sprachnachricht anerkennt die Gruppe, ohne sich zu rechtfertigen.</w:t>
            </w:r>
            <w:r>
              <w:t xml:space="preserve"/>
            </w:r>
          </w:p>
          <w:p>
            <w:pPr>
              <w:pStyle w:val="ListParagraph"/>
              <w:numPr>
                <w:ilvl w:val="0"/>
                <w:numId w:val="2"/>
              </w:numPr>
              <w:spacing w:after="30" w:before="30" w:line="300"/>
              <w:ind w:left="280" w:hanging="280"/>
            </w:pPr>
            <w:r>
              <w:rPr>
                <w:b/>
                <w:bCs/>
              </w:rPr>
              <w:t xml:space="preserve">Tragfähig:</w:t>
            </w:r>
            <w:r>
              <w:t xml:space="preserve"> </w:t>
            </w:r>
            <w:r>
              <w:t xml:space="preserve"/>
            </w:r>
            <w:r>
              <w:t xml:space="preserve">Zum Beispiel Tagespass ohne Griff auf die Rückstellung, oder ganz verzichten mit einem Gegenvorschlag an die Gruppe.</w:t>
            </w:r>
            <w:r>
              <w:t xml:space="preserve"/>
            </w:r>
          </w:p>
          <w:p>
            <w:pPr>
              <w:pStyle w:val="ListParagraph"/>
              <w:numPr>
                <w:ilvl w:val="0"/>
                <w:numId w:val="2"/>
              </w:numPr>
              <w:spacing w:after="30" w:before="30" w:line="300"/>
              <w:ind w:left="280" w:hanging="280"/>
            </w:pPr>
            <w:r>
              <w:rPr>
                <w:b/>
                <w:bCs/>
              </w:rPr>
              <w:t xml:space="preserve">Nicht tragfähig:</w:t>
            </w:r>
            <w:r>
              <w:t xml:space="preserve"> </w:t>
            </w:r>
            <w:r>
              <w:t xml:space="preserve"/>
            </w:r>
            <w:r>
              <w:t xml:space="preserve">Die Rückstellung «ausleihen» ohne Plan, wie sie bis zum Herbst wieder aufgefüllt wird.</w:t>
            </w:r>
            <w:r>
              <w:t xml:space="preserve"/>
            </w:r>
          </w:p>
        </w:tc>
      </w:tr>
    </w:tbl>
    <w:p>
      <w:pPr>
        <w:spacing w:after="0" w:before="0"/>
      </w:pPr>
      <w:r>
        <w:rPr>
          <w:sz w:val="8"/>
          <w:szCs w:val="8"/>
        </w:rPr>
        <w:t xml:space="preserve"/>
      </w:r>
    </w:p>
    <w:p>
      <w:pPr>
        <w:pStyle w:val="Heading3"/>
        <w:keepNext/>
        <w:spacing w:after="80" w:before="280"/>
      </w:pPr>
      <w:r>
        <w:rPr>
          <w:rFonts w:ascii="Source Serif 4" w:cs="Source Serif 4" w:eastAsia="Source Serif 4" w:hAnsi="Source Serif 4"/>
          <w:b/>
          <w:bCs/>
          <w:color w:val="1A1A1A"/>
          <w:sz w:val="26"/>
          <w:szCs w:val="26"/>
        </w:rPr>
        <w:t xml:space="preserve">Rückmeldung vor dem KN</w:t>
      </w:r>
    </w:p>
    <w:p>
      <w:pPr>
        <w:spacing w:after="100" w:before="60" w:line="320"/>
      </w:pPr>
      <w:r>
        <w:t xml:space="preserve">Zwischen der Abgabe und dem KN liegt mindestens eine Lektion mit Rückmeldung — in diesem Plan die dritte Lektion von Woche 3. Der Bogen selbst lässt offen, wer die Spalte «Fremd» ausfüllt (du, eine Partnerin, beide) und was du mit dem Auftrag machst — er nennt weder Lehrperson noch Note. Im Vorschlag gibst du Rückmeldung in der Spalte «Fremd», auf derselben Skala wie die Selbsteinschätzung, und jede Person schliesst mit einem Satz unter «Das verbessere ich …». Wird diese Lektion gestrichen, verliert der Auftrag seinen Sinn; dafür gibt es den Puffer (Kap. 1).</w:t>
      </w:r>
    </w:p>
    <w:p>
      <w:pPr>
        <w:pStyle w:val="Heading3"/>
        <w:keepNext/>
        <w:spacing w:after="80" w:before="280"/>
      </w:pPr>
      <w:r>
        <w:rPr>
          <w:rFonts w:ascii="Source Serif 4" w:cs="Source Serif 4" w:eastAsia="Source Serif 4" w:hAnsi="Source Serif 4"/>
          <w:b/>
          <w:bCs/>
          <w:color w:val="1A1A1A"/>
          <w:sz w:val="26"/>
          <w:szCs w:val="26"/>
        </w:rPr>
        <w:t xml:space="preserve">Abgrenzung zum KN</w:t>
      </w:r>
    </w:p>
    <w:tbl>
      <w:tblPr>
        <w:tblW w:type="pct" w:w="100%"/>
        <w:tblBorders>
          <w:top w:val="single" w:color="DCDCDC" w:sz="4"/>
          <w:left w:val="single" w:color="DCDCDC" w:sz="4"/>
          <w:bottom w:val="single" w:color="DCDCDC" w:sz="4"/>
          <w:right w:val="single" w:color="DCDCDC" w:sz="4"/>
          <w:insideH w:val="single" w:color="DCDCDC" w:sz="4"/>
          <w:insideV w:val="single" w:color="DCDCDC" w:sz="4"/>
        </w:tblBorders>
        <w:tblLayout w:type="fixed"/>
      </w:tblPr>
      <w:tblGrid>
        <w:gridCol w:w="100"/>
        <w:gridCol w:w="100"/>
        <w:gridCol w:w="100"/>
      </w:tblGrid>
      <w:tr>
        <w:trPr>
          <w:tblHeader/>
        </w:trPr>
        <w:tc>
          <w:tcPr>
            <w:shd w:fill="1A1A1A" w:color="auto" w:val="clear"/>
            <w:tcMar>
              <w:top w:type="dxa" w:w="80"/>
              <w:left w:type="dxa" w:w="120"/>
              <w:bottom w:type="dxa" w:w="80"/>
              <w:right w:type="dxa" w:w="120"/>
            </w:tcMar>
          </w:tcPr>
          <w:p>
            <w:pPr>
              <w:spacing w:after="0" w:before="0"/>
            </w:pP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Gemeinsamer Auftrag</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KN</w:t>
            </w:r>
          </w:p>
        </w:tc>
      </w:tr>
      <w:tr>
        <w:tc>
          <w:tcPr>
            <w:tcMar>
              <w:top w:type="dxa" w:w="70"/>
              <w:left w:type="dxa" w:w="120"/>
              <w:bottom w:type="dxa" w:w="70"/>
              <w:right w:type="dxa" w:w="120"/>
            </w:tcMar>
          </w:tcPr>
          <w:p>
            <w:pPr>
              <w:spacing w:after="0" w:before="0"/>
            </w:pPr>
            <w:r>
              <w:rPr>
                <w:b w:val="false"/>
                <w:bCs w:val="false"/>
                <w:sz w:val="20"/>
                <w:szCs w:val="20"/>
              </w:rPr>
              <w:t xml:space="preserve">Zweck</w:t>
            </w:r>
          </w:p>
        </w:tc>
        <w:tc>
          <w:tcPr>
            <w:tcMar>
              <w:top w:type="dxa" w:w="70"/>
              <w:left w:type="dxa" w:w="120"/>
              <w:bottom w:type="dxa" w:w="70"/>
              <w:right w:type="dxa" w:w="120"/>
            </w:tcMar>
          </w:tcPr>
          <w:p>
            <w:pPr>
              <w:spacing w:after="0" w:before="0"/>
            </w:pPr>
            <w:r>
              <w:rPr>
                <w:b w:val="false"/>
                <w:bCs w:val="false"/>
                <w:sz w:val="20"/>
                <w:szCs w:val="20"/>
              </w:rPr>
              <w:t xml:space="preserve">Übung mit Rückmeldung</w:t>
            </w:r>
          </w:p>
        </w:tc>
        <w:tc>
          <w:tcPr>
            <w:tcMar>
              <w:top w:type="dxa" w:w="70"/>
              <w:left w:type="dxa" w:w="120"/>
              <w:bottom w:type="dxa" w:w="70"/>
              <w:right w:type="dxa" w:w="120"/>
            </w:tcMar>
          </w:tcPr>
          <w:p>
            <w:pPr>
              <w:spacing w:after="0" w:before="0"/>
            </w:pPr>
            <w:r>
              <w:rPr>
                <w:b w:val="false"/>
                <w:bCs w:val="false"/>
                <w:sz w:val="20"/>
                <w:szCs w:val="20"/>
              </w:rPr>
              <w:t xml:space="preserve">Nachweis</w:t>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Kriterien</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dieselben vier KN-Kriterien, gleicher Wortlaut, gleiche Stufen</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vier KN-Kriterien</w:t>
            </w:r>
          </w:p>
        </w:tc>
      </w:tr>
      <w:tr>
        <w:tc>
          <w:tcPr>
            <w:tcMar>
              <w:top w:type="dxa" w:w="70"/>
              <w:left w:type="dxa" w:w="120"/>
              <w:bottom w:type="dxa" w:w="70"/>
              <w:right w:type="dxa" w:w="120"/>
            </w:tcMar>
          </w:tcPr>
          <w:p>
            <w:pPr>
              <w:spacing w:after="0" w:before="0"/>
            </w:pPr>
            <w:r>
              <w:rPr>
                <w:b w:val="false"/>
                <w:bCs w:val="false"/>
                <w:sz w:val="20"/>
                <w:szCs w:val="20"/>
              </w:rPr>
              <w:t xml:space="preserve">Situation</w:t>
            </w:r>
          </w:p>
        </w:tc>
        <w:tc>
          <w:tcPr>
            <w:tcMar>
              <w:top w:type="dxa" w:w="70"/>
              <w:left w:type="dxa" w:w="120"/>
              <w:bottom w:type="dxa" w:w="70"/>
              <w:right w:type="dxa" w:w="120"/>
            </w:tcMar>
          </w:tcPr>
          <w:p>
            <w:pPr>
              <w:spacing w:after="0" w:before="0"/>
            </w:pPr>
            <w:r>
              <w:rPr>
                <w:b w:val="false"/>
                <w:bCs w:val="false"/>
                <w:sz w:val="20"/>
                <w:szCs w:val="20"/>
              </w:rPr>
              <w:t xml:space="preserve">neu, verbindet A und B, Lebensbereich Freizeit</w:t>
            </w:r>
          </w:p>
        </w:tc>
        <w:tc>
          <w:tcPr>
            <w:tcMar>
              <w:top w:type="dxa" w:w="70"/>
              <w:left w:type="dxa" w:w="120"/>
              <w:bottom w:type="dxa" w:w="70"/>
              <w:right w:type="dxa" w:w="120"/>
            </w:tcMar>
          </w:tcPr>
          <w:p>
            <w:pPr>
              <w:spacing w:after="0" w:before="0"/>
            </w:pPr>
            <w:r>
              <w:rPr>
                <w:b w:val="false"/>
                <w:bCs w:val="false"/>
                <w:sz w:val="20"/>
                <w:szCs w:val="20"/>
              </w:rPr>
              <w:t xml:space="preserve">neu, verbindet A und B, anderer Lebensbereich</w:t>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Produkt</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Entscheidungsblatt und Sprachnachricht</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eine der drei KN-Formen</w:t>
            </w:r>
          </w:p>
        </w:tc>
      </w:tr>
      <w:tr>
        <w:tc>
          <w:tcPr>
            <w:tcMar>
              <w:top w:type="dxa" w:w="70"/>
              <w:left w:type="dxa" w:w="120"/>
              <w:bottom w:type="dxa" w:w="70"/>
              <w:right w:type="dxa" w:w="120"/>
            </w:tcMar>
          </w:tcPr>
          <w:p>
            <w:pPr>
              <w:spacing w:after="0" w:before="0"/>
            </w:pPr>
            <w:r>
              <w:rPr>
                <w:b w:val="false"/>
                <w:bCs w:val="false"/>
                <w:sz w:val="20"/>
                <w:szCs w:val="20"/>
              </w:rPr>
              <w:t xml:space="preserve">Rückmeldung</w:t>
            </w:r>
          </w:p>
        </w:tc>
        <w:tc>
          <w:tcPr>
            <w:tcMar>
              <w:top w:type="dxa" w:w="70"/>
              <w:left w:type="dxa" w:w="120"/>
              <w:bottom w:type="dxa" w:w="70"/>
              <w:right w:type="dxa" w:w="120"/>
            </w:tcMar>
          </w:tcPr>
          <w:p>
            <w:pPr>
              <w:spacing w:after="0" w:before="0"/>
            </w:pPr>
            <w:r>
              <w:rPr>
                <w:b w:val="false"/>
                <w:bCs w:val="false"/>
                <w:sz w:val="20"/>
                <w:szCs w:val="20"/>
              </w:rPr>
              <w:t xml:space="preserve">Lehrperson und Selbsteinschätzung, vor dem KN</w:t>
            </w:r>
          </w:p>
        </w:tc>
        <w:tc>
          <w:tcPr>
            <w:tcMar>
              <w:top w:type="dxa" w:w="70"/>
              <w:left w:type="dxa" w:w="120"/>
              <w:bottom w:type="dxa" w:w="70"/>
              <w:right w:type="dxa" w:w="120"/>
            </w:tcMar>
          </w:tcPr>
          <w:p>
            <w:pPr>
              <w:spacing w:after="0" w:before="0"/>
            </w:pPr>
            <w:r>
              <w:rPr>
                <w:b w:val="false"/>
                <w:bCs w:val="false"/>
                <w:sz w:val="20"/>
                <w:szCs w:val="20"/>
              </w:rPr>
              <w:t xml:space="preserve">Note</w:t>
            </w:r>
          </w:p>
        </w:tc>
      </w:tr>
    </w:tbl>
    <w:p>
      <w:pPr>
        <w:spacing w:after="0" w:before="0"/>
      </w:pPr>
      <w:r>
        <w:rPr>
          <w:sz w:val="8"/>
          <w:szCs w:val="8"/>
        </w:rPr>
        <w:t xml:space="preserve"/>
      </w:r>
    </w:p>
    <w:p>
      <w:pPr>
        <w:spacing w:after="100" w:before="60" w:line="320"/>
      </w:pPr>
      <w:r>
        <w:t xml:space="preserve">Der Auftrag spielt bewusst in einem anderen Lebensbereich als der KN (Freizeit statt Mobilität), kommt ohne Kredit- oder Leasingprodukt aus und verlangt eine andere Produktform — bei gleichen Kriterien. Keiner der Gegenstände aus Heft A, Heft B oder dem KN kommt im Auftrag vor:</w:t>
      </w:r>
    </w:p>
    <w:p>
      <w:r>
        <w:rPr>
          <w:color w:val="7A7A7A"/>
          <w:sz w:val="20"/>
          <w:szCs w:val="20"/>
        </w:rPr>
        <w:t xml:space="preserve">
</w:t>
      </w:r>
    </w:p>
    <w:p>
      <w:pPr>
        <w:pStyle w:val="ListParagraph"/>
        <w:numPr>
          <w:ilvl w:val="0"/>
          <w:numId w:val="2"/>
        </w:numPr>
        <w:spacing w:after="30" w:before="30" w:line="300"/>
        <w:ind w:left="280" w:hanging="280"/>
      </w:pPr>
      <w:r>
        <w:t xml:space="preserve">Kopfhörer, Handy (Heft A)</w:t>
      </w:r>
    </w:p>
    <w:p>
      <w:pPr>
        <w:pStyle w:val="ListParagraph"/>
        <w:numPr>
          <w:ilvl w:val="0"/>
          <w:numId w:val="2"/>
        </w:numPr>
        <w:spacing w:after="30" w:before="30" w:line="300"/>
        <w:ind w:left="280" w:hanging="280"/>
      </w:pPr>
      <w:r>
        <w:t xml:space="preserve">Monatsbudget, Abos, Rechnung mit Mahnung (Heft B)</w:t>
      </w:r>
    </w:p>
    <w:p>
      <w:pPr>
        <w:pStyle w:val="ListParagraph"/>
        <w:numPr>
          <w:ilvl w:val="0"/>
          <w:numId w:val="2"/>
        </w:numPr>
        <w:spacing w:after="30" w:before="30" w:line="300"/>
        <w:ind w:left="280" w:hanging="280"/>
      </w:pPr>
      <w:r>
        <w:t xml:space="preserve">E-Bike, Leasing, Konsumkredit, Mobilität (KN)</w:t>
      </w:r>
    </w:p>
    <w:p>
      <w:r>
        <w:rPr>
          <w:color w:val="7A7A7A"/>
          <w:sz w:val="20"/>
          <w:szCs w:val="20"/>
        </w:rPr>
        <w:t xml:space="preserve"/>
      </w:r>
    </w:p>
    <w:p>
      <w:pPr>
        <w:pStyle w:val="Heading2"/>
        <w:keepNext/>
        <w:pageBreakBefore/>
        <w:pBdr>
          <w:bottom w:val="single" w:color="80FF00" w:sz="18" w:space="6"/>
        </w:pBdr>
        <w:spacing w:after="160" w:before="0"/>
      </w:pPr>
      <w:bookmarkStart w:name="chap-7" w:id="1"/>
      <w:r>
        <w:rPr>
          <w:rFonts w:ascii="Source Serif 4" w:cs="Source Serif 4" w:eastAsia="Source Serif 4" w:hAnsi="Source Serif 4"/>
          <w:b/>
          <w:bCs/>
          <w:color w:val="1A1A1A"/>
          <w:sz w:val="36"/>
          <w:szCs w:val="36"/>
        </w:rPr>
        <w:t xml:space="preserve">7. Der Kompetenznachweis (KN)</w:t>
      </w:r>
      <w:bookmarkEnd w:id="1"/>
    </w:p>
    <w:p>
      <w:pPr>
        <w:spacing w:after="100" w:before="60" w:line="320"/>
      </w:pPr>
      <w:r>
        <w:rPr>
          <w:b/>
          <w:bCs/>
        </w:rPr>
        <w:t xml:space="preserve">Hybrid-Herausforderung: «</w:t>
      </w:r>
      <w:r>
        <w:rPr>
          <w:b/>
          <w:bCs/>
        </w:rPr>
        <w:t xml:space="preserve"/>
      </w:r>
      <w:r>
        <w:rPr>
          <w:b/>
          <w:bCs/>
        </w:rPr>
        <w:t xml:space="preserve">0 Prozent — heute unterschreiben</w:t>
      </w:r>
      <w:r>
        <w:rPr>
          <w:b/>
          <w:bCs/>
        </w:rPr>
        <w:t xml:space="preserve"/>
      </w:r>
      <w:r>
        <w:rPr>
          <w:b/>
          <w:bCs/>
        </w:rPr>
        <w:t xml:space="preserve">»</w:t>
      </w:r>
    </w:p>
    <w:p>
      <w:r>
        <w:rPr>
          <w:color w:val="7A7A7A"/>
          <w:sz w:val="20"/>
          <w:szCs w:val="20"/>
        </w:rPr>
        <w:t xml:space="preserve">
</w:t>
      </w:r>
    </w:p>
    <w:tbl>
      <w:tblPr>
        <w:tblW w:type="pct" w:w="100%"/>
        <w:tblBorders>
          <w:top w:val="none" w:color="FFFFFF" w:sz="0"/>
          <w:left w:val="single" w:color="4A4A4A" w:sz="18"/>
          <w:bottom w:val="none" w:color="FFFFFF" w:sz="0"/>
          <w:right w:val="none" w:color="FFFFFF" w:sz="0"/>
          <w:insideH w:val="none" w:color="FFFFFF" w:sz="0"/>
          <w:insideV w:val="none" w:color="FFFFFF" w:sz="0"/>
        </w:tblBorders>
        <w:tblLayout w:type="fixed"/>
      </w:tblPr>
      <w:tblGrid>
        <w:gridCol w:w="100"/>
      </w:tblGrid>
      <w:tr>
        <w:tc>
          <w:tcPr>
            <w:shd w:fill="F7F6F1" w:color="auto" w:val="clear"/>
            <w:tcMar>
              <w:top w:type="dxa" w:w="120"/>
              <w:left w:type="dxa" w:w="220"/>
              <w:bottom w:type="dxa" w:w="120"/>
              <w:right w:type="dxa" w:w="180"/>
            </w:tcMar>
          </w:tcPr>
          <w:p>
            <w:pPr>
              <w:spacing w:after="100" w:before="60" w:line="320"/>
            </w:pPr>
            <w:r>
              <w:t xml:space="preserve">Ich bin im 1. Lehrjahr. Vor mir liegt ein Angebotsblatt aus einem Velogeschäft: E-Bike, Katalogpreis 3900 Franken, in grosser Schrift «0 Prozent Zins», darunter 48 Monatsraten zu 89 Franken. Klein gedruckt stehen 250 Franken Bearbeitungsgebühr, und das Velo gehört bis zur letzten Rate der Leasinggeberin. Der Verkäufer hat mir das Blatt gestern in die Hand gedrückt — gültig bis Samstag. Zwei aus meinem Team fahren dasselbe Modell zur Arbeit. Gleichzeitig wird mein Konto seit dem teureren Handy-Abo schon vor dem 20. eng. Die Zahlen auf dem Blatt und die in meinem Kopf gehen nicht zusammen. Wie gehe ich vor — und warum?</w:t>
            </w:r>
          </w:p>
        </w:tc>
      </w:tr>
    </w:tbl>
    <w:p>
      <w:pPr>
        <w:spacing w:after="0" w:before="0"/>
      </w:pPr>
      <w:r>
        <w:rPr>
          <w:sz w:val="8"/>
          <w:szCs w:val="8"/>
        </w:rPr>
        <w:t xml:space="preserve"/>
      </w:r>
    </w:p>
    <w:p>
      <w:r>
        <w:rPr>
          <w:color w:val="7A7A7A"/>
          <w:sz w:val="20"/>
          <w:szCs w:val="20"/>
        </w:rPr>
        <w:t xml:space="preserve"/>
      </w:r>
    </w:p>
    <w:tbl>
      <w:tblPr>
        <w:tblW w:type="pct" w:w="100%"/>
        <w:tblBorders>
          <w:top w:val="none" w:color="FFFFFF" w:sz="0"/>
          <w:left w:val="single" w:color="2A548C" w:sz="18"/>
          <w:bottom w:val="none" w:color="FFFFFF" w:sz="0"/>
          <w:right w:val="none" w:color="FFFFFF" w:sz="0"/>
          <w:insideH w:val="none" w:color="FFFFFF" w:sz="0"/>
          <w:insideV w:val="none" w:color="FFFFFF" w:sz="0"/>
        </w:tblBorders>
        <w:tblLayout w:type="fixed"/>
      </w:tblPr>
      <w:tblGrid>
        <w:gridCol w:w="100"/>
      </w:tblGrid>
      <w:tr>
        <w:tc>
          <w:tcPr>
            <w:shd w:fill="E8EEF7"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2A548C"/>
                <w:spacing w:val="12"/>
                <w:sz w:val="18"/>
                <w:szCs w:val="18"/>
              </w:rPr>
              <w:t xml:space="preserve">HINWEIS  ·  WARUM DER FALL NEU SEIN MUSS</w:t>
            </w:r>
          </w:p>
          <w:p>
            <w:pPr>
              <w:spacing w:after="100" w:before="60" w:line="320"/>
            </w:pPr>
            <w:r>
              <w:t xml:space="preserve">Die Persona ist dieselbe neutrale wie in Heft A und Heft B — den Transfer trägt darum allein der Fall. In den Heften arbeiten die Lernenden an eigenen Wünschen, eigenem Budget und eigenen Abos; hier liegt ein fremdes Dokument mit nachrechenbaren Zahlen und einer Frist vor ihnen. 48 × 89 Franken plus 250 Franken Gebühr sind 4522 Franken für ein Velo, das 3900 Franken kostet und bis zur letzten Rate nicht ihnen gehört — die Rechnung ist der Prüfgegenstand.</w:t>
            </w:r>
          </w:p>
        </w:tc>
      </w:tr>
    </w:tbl>
    <w:p>
      <w:pPr>
        <w:spacing w:after="0" w:before="0"/>
      </w:pPr>
      <w:r>
        <w:rPr>
          <w:sz w:val="8"/>
          <w:szCs w:val="8"/>
        </w:rPr>
        <w:t xml:space="preserve"/>
      </w:r>
    </w:p>
    <w:tbl>
      <w:tblPr>
        <w:tblW w:type="pct" w:w="100%"/>
        <w:tblBorders>
          <w:top w:val="single" w:color="DCDCDC" w:sz="4"/>
          <w:left w:val="single" w:color="DCDCDC" w:sz="4"/>
          <w:bottom w:val="single" w:color="DCDCDC" w:sz="4"/>
          <w:right w:val="single" w:color="DCDCDC" w:sz="4"/>
          <w:insideH w:val="single" w:color="DCDCDC" w:sz="4"/>
          <w:insideV w:val="single" w:color="DCDCDC" w:sz="4"/>
        </w:tblBorders>
        <w:tblLayout w:type="fixed"/>
      </w:tblPr>
      <w:tblGrid>
        <w:gridCol w:w="100"/>
        <w:gridCol w:w="100"/>
      </w:tblGrid>
      <w:tr>
        <w:trPr>
          <w:tblHeader/>
        </w:trPr>
        <w:tc>
          <w:tcPr>
            <w:shd w:fill="1A1A1A" w:color="auto" w:val="clear"/>
            <w:tcMar>
              <w:top w:type="dxa" w:w="80"/>
              <w:left w:type="dxa" w:w="120"/>
              <w:bottom w:type="dxa" w:w="80"/>
              <w:right w:type="dxa" w:w="120"/>
            </w:tcMar>
          </w:tcPr>
          <w:p>
            <w:pPr>
              <w:spacing w:after="0" w:before="0"/>
            </w:pPr>
            <w:r>
              <w:rPr>
                <w:b/>
                <w:bCs/>
                <w:color w:val="FFFFFF"/>
                <w:sz w:val="19"/>
                <w:szCs w:val="19"/>
              </w:rPr>
              <w:t xml:space="preserve">Aus Heft</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zeigt sich im KN als</w:t>
            </w:r>
          </w:p>
        </w:tc>
      </w:tr>
      <w:tr>
        <w:tc>
          <w:tcPr>
            <w:tcMar>
              <w:top w:type="dxa" w:w="70"/>
              <w:left w:type="dxa" w:w="120"/>
              <w:bottom w:type="dxa" w:w="70"/>
              <w:right w:type="dxa" w:w="120"/>
            </w:tcMar>
          </w:tcPr>
          <w:p>
            <w:pPr>
              <w:spacing w:after="0" w:before="0"/>
            </w:pPr>
            <w:r>
              <w:rPr>
                <w:b w:val="false"/>
                <w:bCs w:val="false"/>
                <w:sz w:val="20"/>
                <w:szCs w:val="20"/>
              </w:rPr>
              <w:t xml:space="preserve">A (echt oder geweckt)</w:t>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Zwei aus dem Team fahren dasselbe Modell — echter Bedarf gegen einen durch das Umfeld geweckten Wunsch.</w:t>
            </w:r>
            <w:r>
              <w:rPr>
                <w:b w:val="false"/>
                <w:bCs w:val="false"/>
                <w:sz w:val="20"/>
                <w:szCs w:val="20"/>
              </w:rPr>
              <w:t xml:space="preserve"/>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B (Budget, Engpass, Schuldenrisiko)</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Das Konto wird seit dem teureren Handy-Abo schon vor dem 20. eng — die Rate von 89 Franken muss gegen ein knappes Budget gerechnet werden. «0 Prozent Zins» in grosser Schrift, 48 Raten, 250 Franken Gebühr und Eigentumsvorbehalt im Kleingedruckten, dazu die Frist bis Samstag — verstecktes Verschuldungsrisiko hinter einem attraktiven Angebot.</w:t>
            </w:r>
            <w:r>
              <w:rPr>
                <w:b w:val="false"/>
                <w:bCs w:val="false"/>
                <w:sz w:val="20"/>
                <w:szCs w:val="20"/>
              </w:rPr>
              <w:t xml:space="preserve"/>
            </w:r>
          </w:p>
        </w:tc>
      </w:tr>
    </w:tbl>
    <w:p>
      <w:pPr>
        <w:spacing w:after="0" w:before="0"/>
      </w:pPr>
      <w:r>
        <w:rPr>
          <w:sz w:val="8"/>
          <w:szCs w:val="8"/>
        </w:rPr>
        <w:t xml:space="preserve"/>
      </w:r>
    </w:p>
    <w:p>
      <w:pPr>
        <w:spacing w:after="100" w:before="60" w:line="320"/>
      </w:pPr>
      <w:r>
        <w:t xml:space="preserve">Der KN ist gegenüber der früheren Fassung der Einheit inhaltlich unverändert; angepasst sind nur die Verweise auf «beide» Herausforderungen. Das Verschuldungsrisiko hinter dem attraktiven Angebot bereitet Heft B vor (Budget, Engpass, Schuldenwege).</w:t>
      </w:r>
    </w:p>
    <w:p>
      <w:pPr>
        <w:spacing w:after="100" w:before="60" w:line="320"/>
      </w:pPr>
      <w:r>
        <w:rPr>
          <w:b/>
          <w:bCs/>
        </w:rPr>
        <w:t xml:space="preserve">Methodenwahl</w:t>
      </w:r>
    </w:p>
    <w:tbl>
      <w:tblPr>
        <w:tblW w:type="pct" w:w="100%"/>
        <w:tblBorders>
          <w:top w:val="single" w:color="DCDCDC" w:sz="4"/>
          <w:left w:val="single" w:color="DCDCDC" w:sz="4"/>
          <w:bottom w:val="single" w:color="DCDCDC" w:sz="4"/>
          <w:right w:val="single" w:color="DCDCDC" w:sz="4"/>
          <w:insideH w:val="single" w:color="DCDCDC" w:sz="4"/>
          <w:insideV w:val="single" w:color="DCDCDC" w:sz="4"/>
        </w:tblBorders>
        <w:tblLayout w:type="fixed"/>
      </w:tblPr>
      <w:tblGrid>
        <w:gridCol w:w="100"/>
        <w:gridCol w:w="100"/>
        <w:gridCol w:w="100"/>
        <w:gridCol w:w="100"/>
        <w:gridCol w:w="100"/>
      </w:tblGrid>
      <w:tr>
        <w:trPr>
          <w:tblHeader/>
        </w:trPr>
        <w:tc>
          <w:tcPr>
            <w:shd w:fill="1A1A1A" w:color="auto" w:val="clear"/>
            <w:tcMar>
              <w:top w:type="dxa" w:w="80"/>
              <w:left w:type="dxa" w:w="120"/>
              <w:bottom w:type="dxa" w:w="80"/>
              <w:right w:type="dxa" w:w="120"/>
            </w:tcMar>
          </w:tcPr>
          <w:p>
            <w:pPr>
              <w:spacing w:after="0" w:before="0"/>
            </w:pPr>
            <w:r>
              <w:rPr>
                <w:b/>
                <w:bCs/>
                <w:color w:val="FFFFFF"/>
                <w:sz w:val="19"/>
                <w:szCs w:val="19"/>
              </w:rPr>
              <w:t xml:space="preserve">Methode</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Format</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Prüft primär</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Sprachmodi</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Wähle, wenn</w:t>
            </w:r>
          </w:p>
        </w:tc>
      </w:tr>
      <w:tr>
        <w:tc>
          <w:tcPr>
            <w:tcMar>
              <w:top w:type="dxa" w:w="70"/>
              <w:left w:type="dxa" w:w="120"/>
              <w:bottom w:type="dxa" w:w="70"/>
              <w:right w:type="dxa" w:w="120"/>
            </w:tcMar>
          </w:tcPr>
          <w:p>
            <w:pPr>
              <w:spacing w:after="0" w:before="0"/>
            </w:pPr>
            <w:r>
              <w:rPr>
                <w:b w:val="false"/>
                <w:bCs w:val="false"/>
                <w:sz w:val="20"/>
                <w:szCs w:val="20"/>
              </w:rPr>
              <w:t xml:space="preserve">Fachgespräch</w:t>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mündlich, 30-35 Min. total pro Lernende/r</w:t>
            </w:r>
            <w:r>
              <w:rPr>
                <w:b w:val="false"/>
                <w:bCs w:val="false"/>
                <w:sz w:val="20"/>
                <w:szCs w:val="20"/>
              </w:rPr>
              <w:t xml:space="preserve"/>
            </w:r>
          </w:p>
        </w:tc>
        <w:tc>
          <w:tcPr>
            <w:tcMar>
              <w:top w:type="dxa" w:w="70"/>
              <w:left w:type="dxa" w:w="120"/>
              <w:bottom w:type="dxa" w:w="70"/>
              <w:right w:type="dxa" w:w="120"/>
            </w:tcMar>
          </w:tcPr>
          <w:p>
            <w:pPr>
              <w:spacing w:after="0" w:before="0"/>
            </w:pPr>
            <w:r>
              <w:rPr>
                <w:b w:val="false"/>
                <w:bCs w:val="false"/>
                <w:sz w:val="20"/>
                <w:szCs w:val="20"/>
              </w:rPr>
              <w:t xml:space="preserve">mündliche Begründung, Werthaltung</w:t>
            </w:r>
          </w:p>
        </w:tc>
        <w:tc>
          <w:tcPr>
            <w:tcMar>
              <w:top w:type="dxa" w:w="70"/>
              <w:left w:type="dxa" w:w="120"/>
              <w:bottom w:type="dxa" w:w="70"/>
              <w:right w:type="dxa" w:w="120"/>
            </w:tcMar>
          </w:tcPr>
          <w:p>
            <w:pPr>
              <w:spacing w:after="0" w:before="0"/>
            </w:pPr>
            <w:r>
              <w:rPr>
                <w:b w:val="false"/>
                <w:bCs w:val="false"/>
                <w:sz w:val="20"/>
                <w:szCs w:val="20"/>
              </w:rPr>
              <w:t xml:space="preserve">Rez. schr., Prod. mündl., Interaktion mündl.</w:t>
            </w:r>
          </w:p>
        </w:tc>
        <w:tc>
          <w:tcPr>
            <w:tcMar>
              <w:top w:type="dxa" w:w="70"/>
              <w:left w:type="dxa" w:w="120"/>
              <w:bottom w:type="dxa" w:w="70"/>
              <w:right w:type="dxa" w:w="120"/>
            </w:tcMar>
          </w:tcPr>
          <w:p>
            <w:pPr>
              <w:spacing w:after="0" w:before="0"/>
            </w:pPr>
            <w:r>
              <w:rPr>
                <w:b w:val="false"/>
                <w:bCs w:val="false"/>
                <w:sz w:val="20"/>
                <w:szCs w:val="20"/>
              </w:rPr>
              <w:t xml:space="preserve">mündlich starke Klasse und genug Zeit (siehe unten)</w:t>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Mini Case schriftlich</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schriftlich, 45-60 Min.</w:t>
            </w:r>
            <w:r>
              <w:rPr>
                <w:b w:val="false"/>
                <w:bCs w:val="false"/>
                <w:sz w:val="20"/>
                <w:szCs w:val="20"/>
              </w:rPr>
              <w:t xml:space="preserve"/>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schriftliche Analyse und Entscheid</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Rez. schr., Prod. schr.</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grössere Gruppen, Vergleichbarkeit</w:t>
            </w:r>
          </w:p>
        </w:tc>
      </w:tr>
      <w:tr>
        <w:tc>
          <w:tcPr>
            <w:tcMar>
              <w:top w:type="dxa" w:w="70"/>
              <w:left w:type="dxa" w:w="120"/>
              <w:bottom w:type="dxa" w:w="70"/>
              <w:right w:type="dxa" w:w="120"/>
            </w:tcMar>
          </w:tcPr>
          <w:p>
            <w:pPr>
              <w:spacing w:after="0" w:before="0"/>
            </w:pPr>
            <w:r>
              <w:rPr>
                <w:b w:val="false"/>
                <w:bCs w:val="false"/>
                <w:sz w:val="20"/>
                <w:szCs w:val="20"/>
              </w:rPr>
              <w:t xml:space="preserve">Werkschau + Transfer</w:t>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schriftlich (+ optional Kurzpräsentation 5 Min.)</w:t>
            </w:r>
            <w:r>
              <w:rPr>
                <w:b w:val="false"/>
                <w:bCs w:val="false"/>
                <w:sz w:val="20"/>
                <w:szCs w:val="20"/>
              </w:rPr>
              <w:t xml:space="preserve"/>
            </w:r>
          </w:p>
        </w:tc>
        <w:tc>
          <w:tcPr>
            <w:tcMar>
              <w:top w:type="dxa" w:w="70"/>
              <w:left w:type="dxa" w:w="120"/>
              <w:bottom w:type="dxa" w:w="70"/>
              <w:right w:type="dxa" w:w="120"/>
            </w:tcMar>
          </w:tcPr>
          <w:p>
            <w:pPr>
              <w:spacing w:after="0" w:before="0"/>
            </w:pPr>
            <w:r>
              <w:rPr>
                <w:b w:val="false"/>
                <w:bCs w:val="false"/>
                <w:sz w:val="20"/>
                <w:szCs w:val="20"/>
              </w:rPr>
              <w:t xml:space="preserve">Reflexion über das eigene Produkt</w:t>
            </w:r>
          </w:p>
        </w:tc>
        <w:tc>
          <w:tcPr>
            <w:tcMar>
              <w:top w:type="dxa" w:w="70"/>
              <w:left w:type="dxa" w:w="120"/>
              <w:bottom w:type="dxa" w:w="70"/>
              <w:right w:type="dxa" w:w="120"/>
            </w:tcMar>
          </w:tcPr>
          <w:p>
            <w:pPr>
              <w:spacing w:after="0" w:before="0"/>
            </w:pPr>
            <w:r>
              <w:rPr>
                <w:b w:val="false"/>
                <w:bCs w:val="false"/>
                <w:sz w:val="20"/>
                <w:szCs w:val="20"/>
              </w:rPr>
              <w:t xml:space="preserve">Prod. schr. (+ mündl.)</w:t>
            </w:r>
          </w:p>
        </w:tc>
        <w:tc>
          <w:tcPr>
            <w:tcMar>
              <w:top w:type="dxa" w:w="70"/>
              <w:left w:type="dxa" w:w="120"/>
              <w:bottom w:type="dxa" w:w="70"/>
              <w:right w:type="dxa" w:w="120"/>
            </w:tcMar>
          </w:tcPr>
          <w:p>
            <w:pPr>
              <w:spacing w:after="0" w:before="0"/>
            </w:pPr>
            <w:r>
              <w:rPr>
                <w:b w:val="false"/>
                <w:bCs w:val="false"/>
                <w:sz w:val="20"/>
                <w:szCs w:val="20"/>
              </w:rPr>
              <w:t xml:space="preserve">Prozessorientierung, Differenzierung</w:t>
            </w:r>
          </w:p>
        </w:tc>
      </w:tr>
    </w:tbl>
    <w:p>
      <w:pPr>
        <w:spacing w:after="0" w:before="0"/>
      </w:pPr>
      <w:r>
        <w:rPr>
          <w:sz w:val="8"/>
          <w:szCs w:val="8"/>
        </w:rPr>
        <w:t xml:space="preserve"/>
      </w:r>
    </w:p>
    <w:tbl>
      <w:tblPr>
        <w:tblW w:type="pct" w:w="100%"/>
        <w:tblBorders>
          <w:top w:val="single" w:color="A07A14" w:sz="8"/>
          <w:left w:val="single" w:color="A07A14" w:sz="40"/>
          <w:bottom w:val="single" w:color="A07A14" w:sz="8"/>
          <w:right w:val="single" w:color="A07A14" w:sz="8"/>
          <w:insideH w:val="none" w:color="FFFFFF" w:sz="0"/>
          <w:insideV w:val="none" w:color="FFFFFF" w:sz="0"/>
        </w:tblBorders>
        <w:tblLayout w:type="fixed"/>
      </w:tblPr>
      <w:tblGrid>
        <w:gridCol w:w="100"/>
      </w:tblGrid>
      <w:tr>
        <w:tc>
          <w:tcPr>
            <w:shd w:fill="A07A14" w:color="auto" w:val="clear"/>
            <w:tcMar>
              <w:top w:type="dxa" w:w="70"/>
              <w:left w:type="dxa" w:w="220"/>
              <w:bottom w:type="dxa" w:w="70"/>
              <w:right w:type="dxa" w:w="180"/>
            </w:tcMar>
          </w:tcPr>
          <w:p>
            <w:pPr>
              <w:spacing w:after="0" w:before="0"/>
            </w:pPr>
            <w:r>
              <w:rPr>
                <w:rFonts w:ascii="Source Sans 3" w:cs="Source Sans 3" w:eastAsia="Source Sans 3" w:hAnsi="Source Sans 3"/>
                <w:b/>
                <w:bCs/>
                <w:color w:val="FFFFFF"/>
                <w:spacing w:val="16"/>
                <w:sz w:val="21"/>
                <w:szCs w:val="21"/>
              </w:rPr>
              <w:t xml:space="preserve">COACHING-MOVE  ·  METHODENWAHL AN DIE ZEIT KOPPELN</w:t>
            </w:r>
          </w:p>
        </w:tc>
      </w:tr>
      <w:tr>
        <w:tc>
          <w:tcPr>
            <w:shd w:fill="FDF5E1" w:color="auto" w:val="clear"/>
            <w:tcMar>
              <w:top w:type="dxa" w:w="150"/>
              <w:left w:type="dxa" w:w="220"/>
              <w:bottom w:type="dxa" w:w="150"/>
              <w:right w:type="dxa" w:w="180"/>
            </w:tcMar>
          </w:tcPr>
          <w:p>
            <w:pPr>
              <w:spacing w:after="100" w:before="60" w:line="320"/>
            </w:pPr>
            <w:r>
              <w:t xml:space="preserve">Mini Case und Werkschau passen in die zwei KN-Lektionen. Das Fachgespräch nicht: Es braucht gestaffelte Termine in Woche 3 und 4 inklusive Puffer (Kap. 1). Die Rubrik ist in allen drei Formen dieselbe.</w:t>
            </w:r>
          </w:p>
        </w:tc>
      </w:tr>
    </w:tbl>
    <w:p>
      <w:pPr>
        <w:spacing w:after="0" w:before="0"/>
      </w:pPr>
      <w:r>
        <w:rPr>
          <w:sz w:val="8"/>
          <w:szCs w:val="8"/>
        </w:rPr>
        <w:t xml:space="preserve"/>
      </w:r>
    </w:p>
    <w:tbl>
      <w:tblPr>
        <w:tblW w:type="pct" w:w="100%"/>
        <w:tblBorders>
          <w:top w:val="none" w:color="FFFFFF" w:sz="0"/>
          <w:left w:val="single" w:color="2A548C" w:sz="18"/>
          <w:bottom w:val="none" w:color="FFFFFF" w:sz="0"/>
          <w:right w:val="none" w:color="FFFFFF" w:sz="0"/>
          <w:insideH w:val="none" w:color="FFFFFF" w:sz="0"/>
          <w:insideV w:val="none" w:color="FFFFFF" w:sz="0"/>
        </w:tblBorders>
        <w:tblLayout w:type="fixed"/>
      </w:tblPr>
      <w:tblGrid>
        <w:gridCol w:w="100"/>
      </w:tblGrid>
      <w:tr>
        <w:tc>
          <w:tcPr>
            <w:shd w:fill="E8EEF7"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2A548C"/>
                <w:spacing w:val="12"/>
                <w:sz w:val="18"/>
                <w:szCs w:val="18"/>
              </w:rPr>
              <w:t xml:space="preserve">HINWEIS  ·  AUSBLICK — WEITERE PRÜFFORMEN MÖGLICH</w:t>
            </w:r>
          </w:p>
          <w:p>
            <w:pPr>
              <w:spacing w:after="100" w:before="60" w:line="320"/>
            </w:pPr>
            <w:r>
              <w:t xml:space="preserve">Die drei KN-Typen sind ein Startset. Weitere Formen (Critical Incident, Produkt mit Präsentation) tragen dieselbe Hybrid-Herausforderung und dieselbe Rubrik, sind aber noch nicht ausgearbeitet.</w:t>
            </w:r>
          </w:p>
        </w:tc>
      </w:tr>
    </w:tbl>
    <w:p>
      <w:pPr>
        <w:spacing w:after="0" w:before="0"/>
      </w:pPr>
      <w:r>
        <w:rPr>
          <w:sz w:val="8"/>
          <w:szCs w:val="8"/>
        </w:rPr>
        <w:t xml:space="preserve"/>
      </w:r>
    </w:p>
    <w:p>
      <w:pPr>
        <w:spacing w:after="100" w:before="60" w:line="320"/>
      </w:pPr>
      <w:r>
        <w:rPr>
          <w:b/>
          <w:bCs/>
        </w:rPr>
        <w:t xml:space="preserve">Fachgespräch — Fragen</w:t>
      </w:r>
    </w:p>
    <w:tbl>
      <w:tblPr>
        <w:tblW w:type="pct" w:w="100%"/>
        <w:tblBorders>
          <w:top w:val="single" w:color="DCDCDC" w:sz="4"/>
          <w:left w:val="single" w:color="DCDCDC" w:sz="4"/>
          <w:bottom w:val="single" w:color="DCDCDC" w:sz="4"/>
          <w:right w:val="single" w:color="DCDCDC" w:sz="4"/>
          <w:insideH w:val="single" w:color="DCDCDC" w:sz="4"/>
          <w:insideV w:val="single" w:color="DCDCDC" w:sz="4"/>
        </w:tblBorders>
        <w:tblLayout w:type="fixed"/>
      </w:tblPr>
      <w:tblGrid>
        <w:gridCol w:w="100"/>
        <w:gridCol w:w="100"/>
        <w:gridCol w:w="100"/>
        <w:gridCol w:w="100"/>
      </w:tblGrid>
      <w:tr>
        <w:trPr>
          <w:tblHeader/>
        </w:trPr>
        <w:tc>
          <w:tcPr>
            <w:shd w:fill="1A1A1A" w:color="auto" w:val="clear"/>
            <w:tcMar>
              <w:top w:type="dxa" w:w="80"/>
              <w:left w:type="dxa" w:w="120"/>
              <w:bottom w:type="dxa" w:w="80"/>
              <w:right w:type="dxa" w:w="120"/>
            </w:tcMar>
          </w:tcPr>
          <w:p>
            <w:pPr>
              <w:spacing w:after="0" w:before="0"/>
            </w:pPr>
            <w:r>
              <w:rPr>
                <w:b/>
                <w:bCs/>
                <w:color w:val="FFFFFF"/>
                <w:sz w:val="19"/>
                <w:szCs w:val="19"/>
              </w:rPr>
              <w:t xml:space="preserve">#</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Typ</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K</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Frage</w:t>
            </w:r>
          </w:p>
        </w:tc>
      </w:tr>
      <w:tr>
        <w:tc>
          <w:tcPr>
            <w:tcMar>
              <w:top w:type="dxa" w:w="70"/>
              <w:left w:type="dxa" w:w="120"/>
              <w:bottom w:type="dxa" w:w="70"/>
              <w:right w:type="dxa" w:w="120"/>
            </w:tcMar>
          </w:tcPr>
          <w:p>
            <w:pPr>
              <w:spacing w:after="0" w:before="0"/>
            </w:pPr>
            <w:r>
              <w:rPr>
                <w:b w:val="false"/>
                <w:bCs w:val="false"/>
                <w:sz w:val="20"/>
                <w:szCs w:val="20"/>
              </w:rPr>
              <w:t xml:space="preserve">1</w:t>
            </w:r>
          </w:p>
        </w:tc>
        <w:tc>
          <w:tcPr>
            <w:tcMar>
              <w:top w:type="dxa" w:w="70"/>
              <w:left w:type="dxa" w:w="120"/>
              <w:bottom w:type="dxa" w:w="70"/>
              <w:right w:type="dxa" w:w="120"/>
            </w:tcMar>
          </w:tcPr>
          <w:p>
            <w:pPr>
              <w:spacing w:after="0" w:before="0"/>
            </w:pPr>
            <w:r>
              <w:rPr>
                <w:b w:val="false"/>
                <w:bCs w:val="false"/>
                <w:sz w:val="20"/>
                <w:szCs w:val="20"/>
              </w:rPr>
              <w:t xml:space="preserve">Erklären</w:t>
            </w:r>
          </w:p>
        </w:tc>
        <w:tc>
          <w:tcPr>
            <w:tcMar>
              <w:top w:type="dxa" w:w="70"/>
              <w:left w:type="dxa" w:w="120"/>
              <w:bottom w:type="dxa" w:w="70"/>
              <w:right w:type="dxa" w:w="120"/>
            </w:tcMar>
          </w:tcPr>
          <w:p>
            <w:pPr>
              <w:spacing w:after="0" w:before="0"/>
            </w:pPr>
            <w:r>
              <w:rPr>
                <w:b w:val="false"/>
                <w:bCs w:val="false"/>
                <w:sz w:val="20"/>
                <w:szCs w:val="20"/>
              </w:rPr>
              <w:t xml:space="preserve">2</w:t>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Welche Bedürfnisarten und welche Kostenüberlegungen spielen in dieser Situation eine Rolle — und warum?</w:t>
            </w:r>
            <w:r>
              <w:rPr>
                <w:b w:val="false"/>
                <w:bCs w:val="false"/>
                <w:sz w:val="20"/>
                <w:szCs w:val="20"/>
              </w:rPr>
              <w:t xml:space="preserve"/>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2</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Anwenden</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3</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Wie würden Sie mit einem realistischen Budget prüfen, ob die Rate von 89 Franken für Sie tragbar ist?</w:t>
            </w:r>
            <w:r>
              <w:rPr>
                <w:b w:val="false"/>
                <w:bCs w:val="false"/>
                <w:sz w:val="20"/>
                <w:szCs w:val="20"/>
              </w:rPr>
              <w:t xml:space="preserve"/>
            </w:r>
          </w:p>
        </w:tc>
      </w:tr>
      <w:tr>
        <w:tc>
          <w:tcPr>
            <w:tcMar>
              <w:top w:type="dxa" w:w="70"/>
              <w:left w:type="dxa" w:w="120"/>
              <w:bottom w:type="dxa" w:w="70"/>
              <w:right w:type="dxa" w:w="120"/>
            </w:tcMar>
          </w:tcPr>
          <w:p>
            <w:pPr>
              <w:spacing w:after="0" w:before="0"/>
            </w:pPr>
            <w:r>
              <w:rPr>
                <w:b w:val="false"/>
                <w:bCs w:val="false"/>
                <w:sz w:val="20"/>
                <w:szCs w:val="20"/>
              </w:rPr>
              <w:t xml:space="preserve">3</w:t>
            </w:r>
          </w:p>
        </w:tc>
        <w:tc>
          <w:tcPr>
            <w:tcMar>
              <w:top w:type="dxa" w:w="70"/>
              <w:left w:type="dxa" w:w="120"/>
              <w:bottom w:type="dxa" w:w="70"/>
              <w:right w:type="dxa" w:w="120"/>
            </w:tcMar>
          </w:tcPr>
          <w:p>
            <w:pPr>
              <w:spacing w:after="0" w:before="0"/>
            </w:pPr>
            <w:r>
              <w:rPr>
                <w:b w:val="false"/>
                <w:bCs w:val="false"/>
                <w:sz w:val="20"/>
                <w:szCs w:val="20"/>
              </w:rPr>
              <w:t xml:space="preserve">Beurteilen</w:t>
            </w:r>
          </w:p>
        </w:tc>
        <w:tc>
          <w:tcPr>
            <w:tcMar>
              <w:top w:type="dxa" w:w="70"/>
              <w:left w:type="dxa" w:w="120"/>
              <w:bottom w:type="dxa" w:w="70"/>
              <w:right w:type="dxa" w:w="120"/>
            </w:tcMar>
          </w:tcPr>
          <w:p>
            <w:pPr>
              <w:spacing w:after="0" w:before="0"/>
            </w:pPr>
            <w:r>
              <w:rPr>
                <w:b w:val="false"/>
                <w:bCs w:val="false"/>
                <w:sz w:val="20"/>
                <w:szCs w:val="20"/>
              </w:rPr>
              <w:t xml:space="preserve">3</w:t>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Ist das E-Bike für Sie ein echtes Bedürfnis oder ein durch das Umfeld geweckter Wunsch — und ändert das Ihre Entscheidung?</w:t>
            </w:r>
            <w:r>
              <w:rPr>
                <w:b w:val="false"/>
                <w:bCs w:val="false"/>
                <w:sz w:val="20"/>
                <w:szCs w:val="20"/>
              </w:rPr>
              <w:t xml:space="preserve"/>
            </w:r>
          </w:p>
        </w:tc>
      </w:tr>
      <w:tr>
        <w:tc>
          <w:tcPr>
            <w:shd w:fill="FAFAF7" w:color="auto" w:val="clear"/>
            <w:tcMar>
              <w:top w:type="dxa" w:w="70"/>
              <w:left w:type="dxa" w:w="120"/>
              <w:bottom w:type="dxa" w:w="70"/>
              <w:right w:type="dxa" w:w="120"/>
            </w:tcMar>
          </w:tcPr>
          <w:p>
            <w:pPr>
              <w:spacing w:after="0" w:before="0"/>
            </w:pPr>
            <w:r>
              <w:rPr>
                <w:b w:val="false"/>
                <w:bCs w:val="false"/>
                <w:sz w:val="20"/>
                <w:szCs w:val="20"/>
              </w:rPr>
              <w:t xml:space="preserve">4</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Transfer</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4</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Vergleichen Sie diese Situation mit einer Ihrer beiden Herausforderungen — wo ist das Prinzip gleich, wo unterschiedlich?</w:t>
            </w:r>
            <w:r>
              <w:rPr>
                <w:b w:val="false"/>
                <w:bCs w:val="false"/>
                <w:sz w:val="20"/>
                <w:szCs w:val="20"/>
              </w:rPr>
              <w:t xml:space="preserve"/>
            </w:r>
          </w:p>
        </w:tc>
      </w:tr>
      <w:tr>
        <w:tc>
          <w:tcPr>
            <w:tcMar>
              <w:top w:type="dxa" w:w="70"/>
              <w:left w:type="dxa" w:w="120"/>
              <w:bottom w:type="dxa" w:w="70"/>
              <w:right w:type="dxa" w:w="120"/>
            </w:tcMar>
          </w:tcPr>
          <w:p>
            <w:pPr>
              <w:spacing w:after="0" w:before="0"/>
            </w:pPr>
            <w:r>
              <w:rPr>
                <w:b w:val="false"/>
                <w:bCs w:val="false"/>
                <w:sz w:val="20"/>
                <w:szCs w:val="20"/>
              </w:rPr>
              <w:t xml:space="preserve">5</w:t>
            </w:r>
          </w:p>
        </w:tc>
        <w:tc>
          <w:tcPr>
            <w:tcMar>
              <w:top w:type="dxa" w:w="70"/>
              <w:left w:type="dxa" w:w="120"/>
              <w:bottom w:type="dxa" w:w="70"/>
              <w:right w:type="dxa" w:w="120"/>
            </w:tcMar>
          </w:tcPr>
          <w:p>
            <w:pPr>
              <w:spacing w:after="0" w:before="0"/>
            </w:pPr>
            <w:r>
              <w:rPr>
                <w:b w:val="false"/>
                <w:bCs w:val="false"/>
                <w:sz w:val="20"/>
                <w:szCs w:val="20"/>
              </w:rPr>
              <w:t xml:space="preserve">Werthaltung</w:t>
            </w:r>
          </w:p>
        </w:tc>
        <w:tc>
          <w:tcPr>
            <w:tcMar>
              <w:top w:type="dxa" w:w="70"/>
              <w:left w:type="dxa" w:w="120"/>
              <w:bottom w:type="dxa" w:w="70"/>
              <w:right w:type="dxa" w:w="120"/>
            </w:tcMar>
          </w:tcPr>
          <w:p>
            <w:pPr>
              <w:spacing w:after="0" w:before="0"/>
            </w:pPr>
            <w:r>
              <w:rPr>
                <w:b w:val="false"/>
                <w:bCs w:val="false"/>
                <w:sz w:val="20"/>
                <w:szCs w:val="20"/>
              </w:rPr>
              <w:t xml:space="preserve">4</w:t>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Wer trägt die Verantwortung, wenn die Rate später doch nicht tragbar ist — und weshalb ist das keine reine Geldfrage?</w:t>
            </w:r>
            <w:r>
              <w:rPr>
                <w:b w:val="false"/>
                <w:bCs w:val="false"/>
                <w:sz w:val="20"/>
                <w:szCs w:val="20"/>
              </w:rPr>
              <w:t xml:space="preserve"/>
            </w:r>
          </w:p>
        </w:tc>
      </w:tr>
    </w:tbl>
    <w:p>
      <w:pPr>
        <w:spacing w:after="0" w:before="0"/>
      </w:pPr>
      <w:r>
        <w:rPr>
          <w:sz w:val="8"/>
          <w:szCs w:val="8"/>
        </w:rPr>
        <w:t xml:space="preserve"/>
      </w:r>
    </w:p>
    <w:p>
      <w:pPr>
        <w:spacing w:after="100" w:before="60" w:line="320"/>
      </w:pPr>
      <w:r>
        <w:t xml:space="preserve">Ablauf: 15 Minuten Vorbereitung (Hybrid-Herausforderung lesen, Notizen auf A4, Lehrmittel erlaubt, kein Internet), danach 15–20 Minuten Gespräch mit fünf Fragen steigender Komplexität.</w:t>
      </w:r>
    </w:p>
    <w:tbl>
      <w:tblPr>
        <w:tblW w:type="pct" w:w="100%"/>
        <w:tblBorders>
          <w:top w:val="none" w:color="FFFFFF" w:sz="0"/>
          <w:left w:val="single" w:color="A12061" w:sz="18"/>
          <w:bottom w:val="none" w:color="FFFFFF" w:sz="0"/>
          <w:right w:val="none" w:color="FFFFFF" w:sz="0"/>
          <w:insideH w:val="none" w:color="FFFFFF" w:sz="0"/>
          <w:insideV w:val="none" w:color="FFFFFF" w:sz="0"/>
        </w:tblBorders>
        <w:tblLayout w:type="fixed"/>
      </w:tblPr>
      <w:tblGrid>
        <w:gridCol w:w="100"/>
      </w:tblGrid>
      <w:tr>
        <w:tc>
          <w:tcPr>
            <w:shd w:fill="FBE7F1"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A12061"/>
                <w:spacing w:val="12"/>
                <w:sz w:val="18"/>
                <w:szCs w:val="18"/>
              </w:rPr>
              <w:t xml:space="preserve">ERWARTUNGSHORIZONT  ·  FRAGE 1 (ERKLÄREN, K2) — BEDÜRFNISARTEN UND KOSTEN</w:t>
            </w:r>
          </w:p>
          <w:p>
            <w:pPr>
              <w:spacing w:after="100" w:before="60" w:line="320"/>
            </w:pPr>
            <w:r>
              <w:t xml:space="preserve">Vollständig zeigt: benennt, welches Bedürfnis hinter dem E-Bike steht und zu welcher Bedürfnisart es gehört — das E-Bike selbst ist ein Gut —, und dass beim Leasing mehr anfällt als die Monatsrate (Gebühr, Laufzeit).
Lückenhaft: nennt nur «ich will es» oder «89 Franken» ohne Bedürfnis- oder Kostenbegriff.</w:t>
            </w:r>
          </w:p>
        </w:tc>
      </w:tr>
    </w:tbl>
    <w:p>
      <w:pPr>
        <w:spacing w:after="0" w:before="0"/>
      </w:pPr>
      <w:r>
        <w:rPr>
          <w:sz w:val="8"/>
          <w:szCs w:val="8"/>
        </w:rPr>
        <w:t xml:space="preserve"/>
      </w:r>
    </w:p>
    <w:tbl>
      <w:tblPr>
        <w:tblW w:type="pct" w:w="100%"/>
        <w:tblBorders>
          <w:top w:val="none" w:color="FFFFFF" w:sz="0"/>
          <w:left w:val="single" w:color="A12061" w:sz="18"/>
          <w:bottom w:val="none" w:color="FFFFFF" w:sz="0"/>
          <w:right w:val="none" w:color="FFFFFF" w:sz="0"/>
          <w:insideH w:val="none" w:color="FFFFFF" w:sz="0"/>
          <w:insideV w:val="none" w:color="FFFFFF" w:sz="0"/>
        </w:tblBorders>
        <w:tblLayout w:type="fixed"/>
      </w:tblPr>
      <w:tblGrid>
        <w:gridCol w:w="100"/>
      </w:tblGrid>
      <w:tr>
        <w:tc>
          <w:tcPr>
            <w:shd w:fill="FBE7F1"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A12061"/>
                <w:spacing w:val="12"/>
                <w:sz w:val="18"/>
                <w:szCs w:val="18"/>
              </w:rPr>
              <w:t xml:space="preserve">ERWARTUNGSHORIZONT  ·  FRAGE 3 (BEURTEILEN, K3) — ECHT ODER GEWECKT</w:t>
            </w:r>
          </w:p>
          <w:p>
            <w:pPr>
              <w:spacing w:after="100" w:before="60" w:line="320"/>
            </w:pPr>
            <w:r>
              <w:t xml:space="preserve">2 Punkte: unterscheidet begründet, welcher Anteil des Wunsches echt und welcher durch Team und Umfeld geweckt ist.
3 Punkte zusätzlich: hält den Zielkonflikt offen (das E-Bike kann sinnvoll und zugleich sozial getrieben sein) und leitet daraus den Entscheid ab.
Nicht 3 Punkte: «Es ist reiner Gruppendruck, also nein» — klingt souverän, löst den Zielkonflikt aber vorschnell auf.</w:t>
            </w:r>
          </w:p>
        </w:tc>
      </w:tr>
    </w:tbl>
    <w:p>
      <w:pPr>
        <w:spacing w:after="0" w:before="0"/>
      </w:pPr>
      <w:r>
        <w:rPr>
          <w:sz w:val="8"/>
          <w:szCs w:val="8"/>
        </w:rPr>
        <w:t xml:space="preserve"/>
      </w:r>
    </w:p>
    <w:tbl>
      <w:tblPr>
        <w:tblW w:type="pct" w:w="100%"/>
        <w:tblBorders>
          <w:top w:val="none" w:color="FFFFFF" w:sz="0"/>
          <w:left w:val="single" w:color="A12061" w:sz="18"/>
          <w:bottom w:val="none" w:color="FFFFFF" w:sz="0"/>
          <w:right w:val="none" w:color="FFFFFF" w:sz="0"/>
          <w:insideH w:val="none" w:color="FFFFFF" w:sz="0"/>
          <w:insideV w:val="none" w:color="FFFFFF" w:sz="0"/>
        </w:tblBorders>
        <w:tblLayout w:type="fixed"/>
      </w:tblPr>
      <w:tblGrid>
        <w:gridCol w:w="100"/>
      </w:tblGrid>
      <w:tr>
        <w:tc>
          <w:tcPr>
            <w:shd w:fill="FBE7F1"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A12061"/>
                <w:spacing w:val="12"/>
                <w:sz w:val="18"/>
                <w:szCs w:val="18"/>
              </w:rPr>
              <w:t xml:space="preserve">ERWARTUNGSHORIZONT  ·  FRAGE 5 (WERTHALTUNG, K4) — VERANTWORTUNG</w:t>
            </w:r>
          </w:p>
          <w:p>
            <w:pPr>
              <w:spacing w:after="100" w:before="60" w:line="320"/>
            </w:pPr>
            <w:r>
              <w:t xml:space="preserve">2 Punkte: benennt, dass die Lernende selbst die Rate tragen muss.
3 Punkte zusätzlich: erkennt die Eigenverantwortung und die Rolle von Verkäuferdruck und Bonitätsprüfung, ohne die Verantwortung abzuschieben.
Nicht 3 Punkte: schiebt die Schuld allein auf den Verkäufer oder die Bank.</w:t>
            </w:r>
          </w:p>
        </w:tc>
      </w:tr>
    </w:tbl>
    <w:p>
      <w:pPr>
        <w:spacing w:after="0" w:before="0"/>
      </w:pPr>
      <w:r>
        <w:rPr>
          <w:sz w:val="8"/>
          <w:szCs w:val="8"/>
        </w:rPr>
        <w:t xml:space="preserve"/>
      </w:r>
    </w:p>
    <w:p>
      <w:pPr>
        <w:spacing w:after="100" w:before="60" w:line="320"/>
      </w:pPr>
      <w:r>
        <w:rPr>
          <w:b/>
          <w:bCs/>
        </w:rPr>
        <w:t xml:space="preserve">Mini Case schriftlich — Aufgaben</w:t>
      </w:r>
      <w:r>
        <w:t xml:space="preserve"> (Hybrid-Herausforderung als Prüfungsblatt, Lehrmittel nach deinem Entscheid, kein Internet)</w:t>
      </w:r>
    </w:p>
    <w:p>
      <w:pPr>
        <w:pStyle w:val="ListParagraph"/>
        <w:numPr>
          <w:ilvl w:val="0"/>
          <w:numId w:val="3"/>
        </w:numPr>
        <w:spacing w:after="30" w:before="30" w:line="300"/>
        <w:ind w:left="280" w:hanging="280"/>
      </w:pPr>
      <w:r>
        <w:t xml:space="preserve">«</w:t>
      </w:r>
      <w:r>
        <w:t xml:space="preserve"/>
      </w:r>
      <w:r>
        <w:t xml:space="preserve">Rechnen Sie aus, was das Angebot über die ganze Laufzeit kostet, und erklären Sie, warum die Monatsrate allein nicht aussagt, ob es tragbar ist.</w:t>
      </w:r>
      <w:r>
        <w:t xml:space="preserve"/>
      </w:r>
      <w:r>
        <w:t xml:space="preserve">» (Erklären, K2)</w:t>
      </w:r>
    </w:p>
    <w:p>
      <w:pPr>
        <w:pStyle w:val="ListParagraph"/>
        <w:numPr>
          <w:ilvl w:val="0"/>
          <w:numId w:val="3"/>
        </w:numPr>
        <w:spacing w:after="30" w:before="30" w:line="300"/>
        <w:ind w:left="280" w:hanging="280"/>
      </w:pPr>
      <w:r>
        <w:t xml:space="preserve">«</w:t>
      </w:r>
      <w:r>
        <w:t xml:space="preserve"/>
      </w:r>
      <w:r>
        <w:t xml:space="preserve">Der Wunsch nach dem E-Bike, das Modell der beiden Teamkollegen und die Frist bis Samstag wirken zusammen auf Sie. Warum ist ein so geweckter Wunsch anders zu beurteilen als ein echter Bedarf?</w:t>
      </w:r>
      <w:r>
        <w:t xml:space="preserve"/>
      </w:r>
      <w:r>
        <w:t xml:space="preserve">» (Unterscheiden, K3)</w:t>
      </w:r>
    </w:p>
    <w:p>
      <w:pPr>
        <w:pStyle w:val="ListParagraph"/>
        <w:numPr>
          <w:ilvl w:val="0"/>
          <w:numId w:val="3"/>
        </w:numPr>
        <w:spacing w:after="30" w:before="30" w:line="300"/>
        <w:ind w:left="280" w:hanging="280"/>
      </w:pPr>
      <w:r>
        <w:t xml:space="preserve">«</w:t>
      </w:r>
      <w:r>
        <w:t xml:space="preserve"/>
      </w:r>
      <w:r>
        <w:t xml:space="preserve">Entscheiden Sie sich für oder gegen die Unterschrift bis Samstag und begründen Sie Ihren Entscheid mit Ihrem Budget. Nennen Sie die zwei Optionen und ihre Folgen.</w:t>
      </w:r>
      <w:r>
        <w:t xml:space="preserve"/>
      </w:r>
      <w:r>
        <w:t xml:space="preserve">» (Entscheiden, K3)</w:t>
      </w:r>
    </w:p>
    <w:p>
      <w:pPr>
        <w:pStyle w:val="ListParagraph"/>
        <w:numPr>
          <w:ilvl w:val="0"/>
          <w:numId w:val="3"/>
        </w:numPr>
        <w:spacing w:after="30" w:before="30" w:line="300"/>
        <w:ind w:left="280" w:hanging="280"/>
      </w:pPr>
      <w:r>
        <w:t xml:space="preserve">«</w:t>
      </w:r>
      <w:r>
        <w:t xml:space="preserve"/>
      </w:r>
      <w:r>
        <w:t xml:space="preserve">Formulieren Sie in Ich-Form zwei Regeln, mit denen Sie sich künftig vor solchem Verschuldungsdruck schützen.</w:t>
      </w:r>
      <w:r>
        <w:t xml:space="preserve"/>
      </w:r>
      <w:r>
        <w:t xml:space="preserve">» (Forderung, K4)</w:t>
      </w:r>
    </w:p>
    <w:p>
      <w:pPr>
        <w:spacing w:after="100" w:before="60" w:line="320"/>
      </w:pPr>
      <w:r>
        <w:rPr>
          <w:b/>
          <w:bCs/>
        </w:rPr>
        <w:t xml:space="preserve">Werkschau + Transfer-Reflexion</w:t>
      </w:r>
    </w:p>
    <w:p>
      <w:r>
        <w:rPr>
          <w:color w:val="7A7A7A"/>
          <w:sz w:val="20"/>
          <w:szCs w:val="20"/>
        </w:rPr>
        <w:t xml:space="preserve">
</w:t>
      </w:r>
    </w:p>
    <w:p>
      <w:pPr>
        <w:pStyle w:val="ListParagraph"/>
        <w:numPr>
          <w:ilvl w:val="0"/>
          <w:numId w:val="2"/>
        </w:numPr>
        <w:spacing w:after="30" w:before="30" w:line="300"/>
        <w:ind w:left="280" w:hanging="280"/>
      </w:pPr>
      <w:r>
        <w:t xml:space="preserve">Lernende wählen eines ihrer beiden Handlungsprodukte aus den Lernaufgaben (Bedürfnis-Landkarte, Budget mit Schutzregeln).</w:t>
      </w:r>
    </w:p>
    <w:p>
      <w:pPr>
        <w:pStyle w:val="ListParagraph"/>
        <w:numPr>
          <w:ilvl w:val="0"/>
          <w:numId w:val="2"/>
        </w:numPr>
        <w:spacing w:after="30" w:before="30" w:line="300"/>
        <w:ind w:left="280" w:hanging="280"/>
      </w:pPr>
      <w:r>
        <w:t xml:space="preserve">Werkwahl-Begründung (2-3 Sätze): Warum genau dieses Handlungsprodukt?</w:t>
      </w:r>
    </w:p>
    <w:p>
      <w:pPr>
        <w:pStyle w:val="ListParagraph"/>
        <w:numPr>
          <w:ilvl w:val="0"/>
          <w:numId w:val="2"/>
        </w:numPr>
        <w:spacing w:after="30" w:before="30" w:line="300"/>
        <w:ind w:left="280" w:hanging="280"/>
      </w:pPr>
      <w:r>
        <w:t xml:space="preserve">Transfer-Reflexion (200-250 Wörter): drei Fragen schriftlich beantworten.</w:t>
      </w:r>
    </w:p>
    <w:p>
      <w:r>
        <w:rPr>
          <w:color w:val="7A7A7A"/>
          <w:sz w:val="20"/>
          <w:szCs w:val="20"/>
        </w:rPr>
        <w:t xml:space="preserve"/>
      </w:r>
    </w:p>
    <w:p>
      <w:pPr>
        <w:spacing w:after="100" w:before="60" w:line="320"/>
      </w:pPr>
      <w:r>
        <w:t xml:space="preserve">Die drei Reflexionsfragen:</w:t>
      </w:r>
    </w:p>
    <w:p>
      <w:pPr>
        <w:pStyle w:val="ListParagraph"/>
        <w:numPr>
          <w:ilvl w:val="0"/>
          <w:numId w:val="3"/>
        </w:numPr>
        <w:spacing w:after="30" w:before="30" w:line="300"/>
        <w:ind w:left="280" w:hanging="280"/>
      </w:pPr>
      <w:r>
        <w:t xml:space="preserve">«</w:t>
      </w:r>
      <w:r>
        <w:t xml:space="preserve"/>
      </w:r>
      <w:r>
        <w:t xml:space="preserve">Welches Grundprinzip haben Sie in Ihrer Herausforderung gelernt — formulieren Sie es in einem Satz.</w:t>
      </w:r>
      <w:r>
        <w:t xml:space="preserve"/>
      </w:r>
      <w:r>
        <w:t xml:space="preserve">»</w:t>
      </w:r>
    </w:p>
    <w:p>
      <w:pPr>
        <w:pStyle w:val="ListParagraph"/>
        <w:numPr>
          <w:ilvl w:val="0"/>
          <w:numId w:val="3"/>
        </w:numPr>
        <w:spacing w:after="30" w:before="30" w:line="300"/>
        <w:ind w:left="280" w:hanging="280"/>
      </w:pPr>
      <w:r>
        <w:t xml:space="preserve">«</w:t>
      </w:r>
      <w:r>
        <w:t xml:space="preserve"/>
      </w:r>
      <w:r>
        <w:t xml:space="preserve">Erklären Sie, wie dieses Prinzip im Leasingangebot der Hybrid-Herausforderung sichtbar wird. Was ist gleich, was ist anders?</w:t>
      </w:r>
      <w:r>
        <w:t xml:space="preserve"/>
      </w:r>
      <w:r>
        <w:t xml:space="preserve">»</w:t>
      </w:r>
    </w:p>
    <w:p>
      <w:pPr>
        <w:pStyle w:val="ListParagraph"/>
        <w:numPr>
          <w:ilvl w:val="0"/>
          <w:numId w:val="3"/>
        </w:numPr>
        <w:spacing w:after="30" w:before="30" w:line="300"/>
        <w:ind w:left="280" w:hanging="280"/>
      </w:pPr>
      <w:r>
        <w:t xml:space="preserve">«</w:t>
      </w:r>
      <w:r>
        <w:t xml:space="preserve"/>
      </w:r>
      <w:r>
        <w:t xml:space="preserve">Wann versagt das Prinzip — und was haben Sie durch die beiden Herausforderungen insgesamt über überlegte Konsumentscheidungen gelernt?</w:t>
      </w:r>
      <w:r>
        <w:t xml:space="preserve"/>
      </w:r>
      <w:r>
        <w:t xml:space="preserve">»</w:t>
      </w:r>
    </w:p>
    <w:p>
      <w:pPr>
        <w:spacing w:after="100" w:before="60" w:line="320"/>
      </w:pPr>
      <w:r>
        <w:rPr>
          <w:b/>
          <w:bCs/>
        </w:rPr>
        <w:t xml:space="preserve">Bi-dimensionale Bewertung</w:t>
      </w:r>
      <w:r>
        <w:t xml:space="preserve"> (0 bis 3 Punkte je Kriterium — dieselbe Skala wie in den Heften und im Auftragsbogen)</w:t>
      </w:r>
    </w:p>
    <w:tbl>
      <w:tblPr>
        <w:tblW w:type="pct" w:w="100%"/>
        <w:tblBorders>
          <w:top w:val="single" w:color="DCDCDC" w:sz="4"/>
          <w:left w:val="single" w:color="DCDCDC" w:sz="4"/>
          <w:bottom w:val="single" w:color="DCDCDC" w:sz="4"/>
          <w:right w:val="single" w:color="DCDCDC" w:sz="4"/>
          <w:insideH w:val="single" w:color="DCDCDC" w:sz="4"/>
          <w:insideV w:val="single" w:color="DCDCDC" w:sz="4"/>
        </w:tblBorders>
        <w:tblLayout w:type="fixed"/>
      </w:tblPr>
      <w:tblGrid>
        <w:gridCol w:w="100"/>
        <w:gridCol w:w="100"/>
        <w:gridCol w:w="100"/>
        <w:gridCol w:w="100"/>
        <w:gridCol w:w="100"/>
      </w:tblGrid>
      <w:tr>
        <w:trPr>
          <w:tblHeader/>
        </w:trPr>
        <w:tc>
          <w:tcPr>
            <w:shd w:fill="1A1A1A" w:color="auto" w:val="clear"/>
            <w:tcMar>
              <w:top w:type="dxa" w:w="80"/>
              <w:left w:type="dxa" w:w="120"/>
              <w:bottom w:type="dxa" w:w="80"/>
              <w:right w:type="dxa" w:w="120"/>
            </w:tcMar>
          </w:tcPr>
          <w:p>
            <w:pPr>
              <w:spacing w:after="0" w:before="0"/>
            </w:pPr>
            <w:r>
              <w:rPr>
                <w:b/>
                <w:bCs/>
                <w:color w:val="FFFFFF"/>
                <w:sz w:val="19"/>
                <w:szCs w:val="19"/>
              </w:rPr>
              <w:t xml:space="preserve">Kriterium</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0 Punkte</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1 Punkt</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2 Punkte</w:t>
            </w:r>
          </w:p>
        </w:tc>
        <w:tc>
          <w:tcPr>
            <w:shd w:fill="1A1A1A" w:color="auto" w:val="clear"/>
            <w:tcMar>
              <w:top w:type="dxa" w:w="80"/>
              <w:left w:type="dxa" w:w="120"/>
              <w:bottom w:type="dxa" w:w="80"/>
              <w:right w:type="dxa" w:w="120"/>
            </w:tcMar>
          </w:tcPr>
          <w:p>
            <w:pPr>
              <w:spacing w:after="0" w:before="0"/>
            </w:pPr>
            <w:r>
              <w:rPr>
                <w:b/>
                <w:bCs/>
                <w:color w:val="FFFFFF"/>
                <w:sz w:val="19"/>
                <w:szCs w:val="19"/>
              </w:rPr>
              <w:t xml:space="preserve">3 Punkte</w:t>
            </w:r>
          </w:p>
        </w:tc>
      </w:tr>
      <w:tr>
        <w:tc>
          <w:tcPr>
            <w:tcMar>
              <w:top w:type="dxa" w:w="70"/>
              <w:left w:type="dxa" w:w="120"/>
              <w:bottom w:type="dxa" w:w="70"/>
              <w:right w:type="dxa" w:w="120"/>
            </w:tcMar>
          </w:tcPr>
          <w:p>
            <w:pPr>
              <w:spacing w:after="0" w:before="0"/>
            </w:pPr>
            <w:r>
              <w:rPr>
                <w:b/>
                <w:bCs/>
                <w:sz w:val="20"/>
                <w:szCs w:val="20"/>
              </w:rPr>
              <w:t xml:space="preserve">Fachkorrektheit</w:t>
            </w:r>
            <w:r>
              <w:rPr>
                <w:b w:val="false"/>
                <w:bCs w:val="false"/>
                <w:sz w:val="20"/>
                <w:szCs w:val="20"/>
              </w:rPr>
              <w:t xml:space="preserve"> (SuK)</w:t>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Begriffe (Bedürfnis, Budget, Leasing/Kredit) fehlen oder werden falsch verwendet.</w:t>
            </w:r>
            <w:r>
              <w:rPr>
                <w:b w:val="false"/>
                <w:bCs w:val="false"/>
                <w:sz w:val="20"/>
                <w:szCs w:val="20"/>
              </w:rPr>
              <w:t xml:space="preserve"/>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Begriffe teilweise korrekt verwendet.</w:t>
            </w:r>
            <w:r>
              <w:rPr>
                <w:b w:val="false"/>
                <w:bCs w:val="false"/>
                <w:sz w:val="20"/>
                <w:szCs w:val="20"/>
              </w:rPr>
              <w:t xml:space="preserve"/>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Begriffe korrekt und situationsangemessen verwendet.</w:t>
            </w:r>
            <w:r>
              <w:rPr>
                <w:b w:val="false"/>
                <w:bCs w:val="false"/>
                <w:sz w:val="20"/>
                <w:szCs w:val="20"/>
              </w:rPr>
              <w:t xml:space="preserve"/>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Begriffe differenziert, kontextualisiert und eigenständig auf die Situation bezogen.</w:t>
            </w:r>
            <w:r>
              <w:rPr>
                <w:b w:val="false"/>
                <w:bCs w:val="false"/>
                <w:sz w:val="20"/>
                <w:szCs w:val="20"/>
              </w:rPr>
              <w:t xml:space="preserve"/>
            </w:r>
          </w:p>
        </w:tc>
      </w:tr>
      <w:tr>
        <w:tc>
          <w:tcPr>
            <w:shd w:fill="FAFAF7" w:color="auto" w:val="clear"/>
            <w:tcMar>
              <w:top w:type="dxa" w:w="70"/>
              <w:left w:type="dxa" w:w="120"/>
              <w:bottom w:type="dxa" w:w="70"/>
              <w:right w:type="dxa" w:w="120"/>
            </w:tcMar>
          </w:tcPr>
          <w:p>
            <w:pPr>
              <w:spacing w:after="0" w:before="0"/>
            </w:pPr>
            <w:r>
              <w:rPr>
                <w:b/>
                <w:bCs/>
                <w:sz w:val="20"/>
                <w:szCs w:val="20"/>
              </w:rPr>
              <w:t xml:space="preserve">Argumentation</w:t>
            </w:r>
            <w:r>
              <w:rPr>
                <w:b w:val="false"/>
                <w:bCs w:val="false"/>
                <w:sz w:val="20"/>
                <w:szCs w:val="20"/>
              </w:rPr>
              <w:t xml:space="preserve"> (SuK)</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Keine Begründung für die Entscheidung erkennbar.</w:t>
            </w:r>
            <w:r>
              <w:rPr>
                <w:b w:val="false"/>
                <w:bCs w:val="false"/>
                <w:sz w:val="20"/>
                <w:szCs w:val="20"/>
              </w:rPr>
              <w:t xml:space="preserve"/>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Begründung ansatzweise vorhanden.</w:t>
            </w:r>
            <w:r>
              <w:rPr>
                <w:b w:val="false"/>
                <w:bCs w:val="false"/>
                <w:sz w:val="20"/>
                <w:szCs w:val="20"/>
              </w:rPr>
              <w:t xml:space="preserve"/>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Begründung nachvollziehbar und strukturiert.</w:t>
            </w:r>
            <w:r>
              <w:rPr>
                <w:b w:val="false"/>
                <w:bCs w:val="false"/>
                <w:sz w:val="20"/>
                <w:szCs w:val="20"/>
              </w:rPr>
              <w:t xml:space="preserve"/>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Schlüssig, differenziert, Gegenargumente und Folgen berücksichtigt.</w:t>
            </w:r>
            <w:r>
              <w:rPr>
                <w:b w:val="false"/>
                <w:bCs w:val="false"/>
                <w:sz w:val="20"/>
                <w:szCs w:val="20"/>
              </w:rPr>
              <w:t xml:space="preserve"/>
            </w:r>
          </w:p>
        </w:tc>
      </w:tr>
      <w:tr>
        <w:tc>
          <w:tcPr>
            <w:tcMar>
              <w:top w:type="dxa" w:w="70"/>
              <w:left w:type="dxa" w:w="120"/>
              <w:bottom w:type="dxa" w:w="70"/>
              <w:right w:type="dxa" w:w="120"/>
            </w:tcMar>
          </w:tcPr>
          <w:p>
            <w:pPr>
              <w:spacing w:after="0" w:before="0"/>
            </w:pPr>
            <w:r>
              <w:rPr>
                <w:b/>
                <w:bCs/>
                <w:sz w:val="20"/>
                <w:szCs w:val="20"/>
              </w:rPr>
              <w:t xml:space="preserve">Wirtschaftliches Prinzip</w:t>
            </w:r>
            <w:r>
              <w:rPr>
                <w:b w:val="false"/>
                <w:bCs w:val="false"/>
                <w:sz w:val="20"/>
                <w:szCs w:val="20"/>
              </w:rPr>
              <w:t xml:space="preserve"> (Ges)</w:t>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Der Zusammenhang von Budget, Bedürfnis und Verschuldungsrisiko wird nicht angewendet.</w:t>
            </w:r>
            <w:r>
              <w:rPr>
                <w:b w:val="false"/>
                <w:bCs w:val="false"/>
                <w:sz w:val="20"/>
                <w:szCs w:val="20"/>
              </w:rPr>
              <w:t xml:space="preserve"/>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Der Zusammenhang wird teilweise erkennbar.</w:t>
            </w:r>
            <w:r>
              <w:rPr>
                <w:b w:val="false"/>
                <w:bCs w:val="false"/>
                <w:sz w:val="20"/>
                <w:szCs w:val="20"/>
              </w:rPr>
              <w:t xml:space="preserve"/>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Der Zusammenhang wird korrekt auf die Situation angewendet.</w:t>
            </w:r>
            <w:r>
              <w:rPr>
                <w:b w:val="false"/>
                <w:bCs w:val="false"/>
                <w:sz w:val="20"/>
                <w:szCs w:val="20"/>
              </w:rPr>
              <w:t xml:space="preserve"/>
            </w:r>
          </w:p>
        </w:tc>
        <w:tc>
          <w:tcP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Das Prinzip wird auf neue Zusammenhänge übertragen (Transfer).</w:t>
            </w:r>
            <w:r>
              <w:rPr>
                <w:b w:val="false"/>
                <w:bCs w:val="false"/>
                <w:sz w:val="20"/>
                <w:szCs w:val="20"/>
              </w:rPr>
              <w:t xml:space="preserve"/>
            </w:r>
          </w:p>
        </w:tc>
      </w:tr>
      <w:tr>
        <w:tc>
          <w:tcPr>
            <w:shd w:fill="FAFAF7" w:color="auto" w:val="clear"/>
            <w:tcMar>
              <w:top w:type="dxa" w:w="70"/>
              <w:left w:type="dxa" w:w="120"/>
              <w:bottom w:type="dxa" w:w="70"/>
              <w:right w:type="dxa" w:w="120"/>
            </w:tcMar>
          </w:tcPr>
          <w:p>
            <w:pPr>
              <w:spacing w:after="0" w:before="0"/>
            </w:pPr>
            <w:r>
              <w:rPr>
                <w:b/>
                <w:bCs/>
                <w:sz w:val="20"/>
                <w:szCs w:val="20"/>
              </w:rPr>
              <w:t xml:space="preserve">Position / Werthaltung</w:t>
            </w:r>
            <w:r>
              <w:rPr>
                <w:b w:val="false"/>
                <w:bCs w:val="false"/>
                <w:sz w:val="20"/>
                <w:szCs w:val="20"/>
              </w:rPr>
              <w:t xml:space="preserve"> (Ges)</w:t>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Keine erkennbare eigene Position.</w:t>
            </w:r>
            <w:r>
              <w:rPr>
                <w:b w:val="false"/>
                <w:bCs w:val="false"/>
                <w:sz w:val="20"/>
                <w:szCs w:val="20"/>
              </w:rPr>
              <w:t xml:space="preserve"/>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Position angedeutet.</w:t>
            </w:r>
            <w:r>
              <w:rPr>
                <w:b w:val="false"/>
                <w:bCs w:val="false"/>
                <w:sz w:val="20"/>
                <w:szCs w:val="20"/>
              </w:rPr>
              <w:t xml:space="preserve"/>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Position klar in Ich-Form formuliert.</w:t>
            </w:r>
            <w:r>
              <w:rPr>
                <w:b w:val="false"/>
                <w:bCs w:val="false"/>
                <w:sz w:val="20"/>
                <w:szCs w:val="20"/>
              </w:rPr>
              <w:t xml:space="preserve"/>
            </w:r>
          </w:p>
        </w:tc>
        <w:tc>
          <w:tcPr>
            <w:shd w:fill="FAFAF7" w:color="auto" w:val="clear"/>
            <w:tcMar>
              <w:top w:type="dxa" w:w="70"/>
              <w:left w:type="dxa" w:w="120"/>
              <w:bottom w:type="dxa" w:w="70"/>
              <w:right w:type="dxa" w:w="120"/>
            </w:tcMar>
          </w:tcPr>
          <w:p>
            <w:pPr>
              <w:spacing w:after="0" w:before="0"/>
            </w:pPr>
            <w:r>
              <w:rPr>
                <w:b w:val="false"/>
                <w:bCs w:val="false"/>
                <w:sz w:val="20"/>
                <w:szCs w:val="20"/>
              </w:rPr>
              <w:t xml:space="preserve"/>
            </w:r>
            <w:r>
              <w:rPr>
                <w:b w:val="false"/>
                <w:bCs w:val="false"/>
                <w:sz w:val="20"/>
                <w:szCs w:val="20"/>
              </w:rPr>
              <w:t xml:space="preserve">Position begründet, Spannungsfeld zwischen Wunsch und Sicherheit anerkannt.</w:t>
            </w:r>
            <w:r>
              <w:rPr>
                <w:b w:val="false"/>
                <w:bCs w:val="false"/>
                <w:sz w:val="20"/>
                <w:szCs w:val="20"/>
              </w:rPr>
              <w:t xml:space="preserve"/>
            </w:r>
          </w:p>
        </w:tc>
      </w:tr>
    </w:tbl>
    <w:p>
      <w:pPr>
        <w:spacing w:after="0" w:before="0"/>
      </w:pPr>
      <w:r>
        <w:rPr>
          <w:sz w:val="8"/>
          <w:szCs w:val="8"/>
        </w:rPr>
        <w:t xml:space="preserve"/>
      </w:r>
    </w:p>
    <w:p>
      <w:pPr>
        <w:spacing w:after="100" w:before="60" w:line="320"/>
      </w:pPr>
      <w:r>
        <w:t xml:space="preserve">Niveaubänder: </w:t>
      </w:r>
      <w:r>
        <w:rPr>
          <w:b/>
          <w:bCs/>
        </w:rPr>
        <w:t xml:space="preserve">unter 60 %</w:t>
      </w:r>
      <w:r>
        <w:t xml:space="preserve"> (0–1 Punkte dominant) · </w:t>
      </w:r>
      <w:r>
        <w:rPr>
          <w:b/>
          <w:bCs/>
        </w:rPr>
        <w:t xml:space="preserve">80 %</w:t>
      </w:r>
      <w:r>
        <w:t xml:space="preserve"> (mehrheitlich 2 Punkte) · </w:t>
      </w:r>
      <w:r>
        <w:rPr>
          <w:b/>
          <w:bCs/>
        </w:rPr>
        <w:t xml:space="preserve">100 %</w:t>
      </w:r>
      <w:r>
        <w:t xml:space="preserve"> (3 Punkte in mindestens 3 von 4 Kriterien).</w:t>
      </w:r>
    </w:p>
    <w:tbl>
      <w:tblPr>
        <w:tblW w:type="pct" w:w="100%"/>
        <w:tblBorders>
          <w:top w:val="single" w:color="E6E2D4" w:sz="4"/>
          <w:left w:val="single" w:color="E6E2D4" w:sz="4"/>
          <w:bottom w:val="single" w:color="E6E2D4" w:sz="4"/>
          <w:right w:val="single" w:color="E6E2D4" w:sz="4"/>
          <w:insideH w:val="none" w:color="FFFFFF" w:sz="0"/>
          <w:insideV w:val="none" w:color="FFFFFF" w:sz="0"/>
        </w:tblBorders>
        <w:tblLayout w:type="fixed"/>
      </w:tblPr>
      <w:tblGrid>
        <w:gridCol w:w="100"/>
      </w:tblGrid>
      <w:tr>
        <w:tc>
          <w:tcPr>
            <w:shd w:fill="F5F3ED" w:color="auto" w:val="clear"/>
            <w:tcMar>
              <w:top w:type="dxa" w:w="120"/>
              <w:left w:type="dxa" w:w="180"/>
              <w:bottom w:type="dxa" w:w="120"/>
              <w:right w:type="dxa" w:w="180"/>
            </w:tcMar>
          </w:tcPr>
          <w:p>
            <w:pPr>
              <w:spacing w:after="0" w:before="0" w:line="260"/>
            </w:pPr>
            <w:r>
              <w:rPr>
                <w:rFonts w:ascii="JetBrains Mono" w:cs="JetBrains Mono" w:eastAsia="JetBrains Mono" w:hAnsi="JetBrains Mono"/>
                <w:color w:val="2A2A2A"/>
                <w:sz w:val="19"/>
                <w:szCs w:val="19"/>
              </w:rPr>
              <w:t xml:space="preserve">Endnote SuK = Mittel(Fachkorrektheit, Argumentation)</w:t>
            </w:r>
          </w:p>
          <w:p>
            <w:pPr>
              <w:spacing w:after="0" w:before="0" w:line="260"/>
            </w:pPr>
            <w:r>
              <w:rPr>
                <w:rFonts w:ascii="JetBrains Mono" w:cs="JetBrains Mono" w:eastAsia="JetBrains Mono" w:hAnsi="JetBrains Mono"/>
                <w:color w:val="2A2A2A"/>
                <w:sz w:val="19"/>
                <w:szCs w:val="19"/>
              </w:rPr>
              <w:t xml:space="preserve">Endnote Ges = Mittel(Wirtschaftliches Prinzip, Position/Werthaltung)</w:t>
            </w:r>
          </w:p>
          <w:p>
            <w:pPr>
              <w:spacing w:after="0" w:before="0" w:line="260"/>
            </w:pPr>
            <w:r>
              <w:rPr>
                <w:rFonts w:ascii="JetBrains Mono" w:cs="JetBrains Mono" w:eastAsia="JetBrains Mono" w:hAnsi="JetBrains Mono"/>
                <w:color w:val="2A2A2A"/>
                <w:sz w:val="19"/>
                <w:szCs w:val="19"/>
              </w:rPr>
              <w:t xml:space="preserve">→ SuK und Ges getrennt ausweisen, NIE zu einer Zahl verrechnen.</w:t>
            </w:r>
          </w:p>
        </w:tc>
      </w:tr>
    </w:tbl>
    <w:p>
      <w:pPr>
        <w:spacing w:after="0" w:before="0"/>
      </w:pPr>
      <w:r>
        <w:rPr>
          <w:sz w:val="8"/>
          <w:szCs w:val="8"/>
        </w:rPr>
        <w:t xml:space="preserve"/>
      </w:r>
    </w:p>
    <w:tbl>
      <w:tblPr>
        <w:tblW w:type="pct" w:w="100%"/>
        <w:tblBorders>
          <w:top w:val="none" w:color="FFFFFF" w:sz="0"/>
          <w:left w:val="single" w:color="B8232B" w:sz="18"/>
          <w:bottom w:val="none" w:color="FFFFFF" w:sz="0"/>
          <w:right w:val="none" w:color="FFFFFF" w:sz="0"/>
          <w:insideH w:val="none" w:color="FFFFFF" w:sz="0"/>
          <w:insideV w:val="none" w:color="FFFFFF" w:sz="0"/>
        </w:tblBorders>
        <w:tblLayout w:type="fixed"/>
      </w:tblPr>
      <w:tblGrid>
        <w:gridCol w:w="100"/>
      </w:tblGrid>
      <w:tr>
        <w:tc>
          <w:tcPr>
            <w:shd w:fill="FAECE9"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B8232B"/>
                <w:spacing w:val="12"/>
                <w:sz w:val="18"/>
                <w:szCs w:val="18"/>
              </w:rPr>
              <w:t xml:space="preserve">WARNUNG  ·  ZWEI NOTEN, NICHT EINE</w:t>
            </w:r>
          </w:p>
          <w:p>
            <w:pPr>
              <w:spacing w:after="100" w:before="60" w:line="320"/>
            </w:pPr>
            <w:r>
              <w:t xml:space="preserve">Trage SuK und Ges als zwei Noten ein. Eine sprachlich schwache, aber inhaltlich starke Arbeit soll das sichtbar machen — genau dafür ist die Doppelspur da.</w:t>
            </w:r>
          </w:p>
        </w:tc>
      </w:tr>
    </w:tbl>
    <w:p>
      <w:pPr>
        <w:spacing w:after="0" w:before="0"/>
      </w:pPr>
      <w:r>
        <w:rPr>
          <w:sz w:val="8"/>
          <w:szCs w:val="8"/>
        </w:rPr>
        <w:t xml:space="preserve"/>
      </w:r>
    </w:p>
    <w:tbl>
      <w:tblPr>
        <w:tblW w:type="pct" w:w="100%"/>
        <w:tblBorders>
          <w:top w:val="none" w:color="FFFFFF" w:sz="0"/>
          <w:left w:val="single" w:color="2F7373" w:sz="18"/>
          <w:bottom w:val="none" w:color="FFFFFF" w:sz="0"/>
          <w:right w:val="none" w:color="FFFFFF" w:sz="0"/>
          <w:insideH w:val="none" w:color="FFFFFF" w:sz="0"/>
          <w:insideV w:val="none" w:color="FFFFFF" w:sz="0"/>
        </w:tblBorders>
        <w:tblLayout w:type="fixed"/>
      </w:tblPr>
      <w:tblGrid>
        <w:gridCol w:w="100"/>
      </w:tblGrid>
      <w:tr>
        <w:tc>
          <w:tcPr>
            <w:shd w:fill="E6F1F1" w:color="auto" w:val="clear"/>
            <w:tcMar>
              <w:top w:type="dxa" w:w="140"/>
              <w:left w:type="dxa" w:w="220"/>
              <w:bottom w:type="dxa" w:w="140"/>
              <w:right w:type="dxa" w:w="180"/>
            </w:tcMar>
          </w:tcPr>
          <w:p>
            <w:pPr>
              <w:spacing w:after="80" w:before="0"/>
            </w:pPr>
            <w:r>
              <w:rPr>
                <w:rFonts w:ascii="Source Sans 3" w:cs="Source Sans 3" w:eastAsia="Source Sans 3" w:hAnsi="Source Sans 3"/>
                <w:b/>
                <w:bCs/>
                <w:color w:val="2F7373"/>
                <w:spacing w:val="12"/>
                <w:sz w:val="18"/>
                <w:szCs w:val="18"/>
              </w:rPr>
              <w:t xml:space="preserve">MEHRDEUTIGKEIT HALTEN  ·  DER HÄUFIGSTE BEWERTUNGSFEHLER</w:t>
            </w:r>
          </w:p>
          <w:p>
            <w:pPr>
              <w:spacing w:after="100" w:before="60" w:line="320"/>
            </w:pPr>
            <w:r>
              <w:t xml:space="preserve">«Klarste Lösung = höchste Note» ist falsch. Wer den Zielkonflikt (Wunsch gegen Sicherheit) vorschnell auflöst, erreicht in «Position / Werthaltung» gerade nicht 3 Punkte — dafür muss das Spannungsfeld anerkannt sein.</w:t>
            </w:r>
          </w:p>
        </w:tc>
      </w:tr>
    </w:tbl>
    <w:p>
      <w:pPr>
        <w:spacing w:after="0" w:before="0"/>
      </w:pPr>
      <w:r>
        <w:rPr>
          <w:sz w:val="8"/>
          <w:szCs w:val="8"/>
        </w:rPr>
        <w:t xml:space="preserve"/>
      </w:r>
    </w:p>
    <w:sectPr>
      <w:headerReference w:type="default" r:id="rId7"/>
      <w:footerReference w:type="default" r:id="rId8"/>
      <w:pgSz w:w="11906" w:h="16838" w:orient="portrait"/>
      <w:pgMar w:top="1900" w:right="1500" w:bottom="1500" w:left="150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single" w:color="DCDCDC" w:sz="6" w:space="6"/>
        <w:left w:val="none" w:color="FFFFFF" w:sz="0"/>
        <w:bottom w:val="none" w:color="FFFFFF" w:sz="0"/>
        <w:right w:val="none" w:color="FFFFFF" w:sz="0"/>
        <w:insideH w:val="none" w:color="FFFFFF" w:sz="0"/>
        <w:insideV w:val="none" w:color="FFFFFF" w:sz="0"/>
      </w:tblBorders>
    </w:tblPr>
    <w:tblGrid>
      <w:gridCol w:w="100"/>
      <w:gridCol w:w="100"/>
    </w:tblGrid>
    <w:tr>
      <w:tc>
        <w:tcPr>
          <w:tcW w:type="pct" w:w="72%"/>
          <w:tcBorders>
            <w:top w:val="none" w:color="FFFFFF" w:sz="0"/>
            <w:left w:val="none" w:color="FFFFFF" w:sz="0"/>
            <w:bottom w:val="none" w:color="FFFFFF" w:sz="0"/>
            <w:right w:val="none" w:color="FFFFFF" w:sz="0"/>
          </w:tcBorders>
          <w:tcMar>
            <w:top w:type="dxa" w:w="80"/>
            <w:left w:type="dxa" w:w="0"/>
            <w:bottom w:type="dxa" w:w="0"/>
            <w:right w:type="dxa" w:w="80"/>
          </w:tcMar>
        </w:tcPr>
        <w:p>
          <w:pPr>
            <w:spacing w:after="0" w:before="0"/>
            <w:jc w:val="left"/>
          </w:pPr>
          <w:r>
            <w:rPr>
              <w:rFonts w:ascii="Source Serif 4" w:cs="Source Serif 4" w:eastAsia="Source Serif 4" w:hAnsi="Source Serif 4"/>
              <w:i/>
              <w:iCs/>
              <w:color w:val="4A4A4A"/>
              <w:sz w:val="17"/>
              <w:szCs w:val="17"/>
            </w:rPr>
            <w:t xml:space="preserve">Begleit-Dokument — Konsum verantworten, Version 4.2 (1.3)</w:t>
          </w:r>
        </w:p>
      </w:tc>
      <w:tc>
        <w:tcPr>
          <w:tcW w:type="pct" w:w="28%"/>
          <w:tcBorders>
            <w:top w:val="none" w:color="FFFFFF" w:sz="0"/>
            <w:left w:val="none" w:color="FFFFFF" w:sz="0"/>
            <w:bottom w:val="none" w:color="FFFFFF" w:sz="0"/>
            <w:right w:val="none" w:color="FFFFFF" w:sz="0"/>
          </w:tcBorders>
          <w:tcMar>
            <w:top w:type="dxa" w:w="80"/>
            <w:left w:type="dxa" w:w="80"/>
            <w:bottom w:type="dxa" w:w="0"/>
            <w:right w:type="dxa" w:w="0"/>
          </w:tcMar>
        </w:tcPr>
        <w:p>
          <w:pPr>
            <w:spacing w:after="0" w:before="0"/>
            <w:jc w:val="right"/>
          </w:pPr>
          <w:r>
            <w:rPr>
              <w:rFonts w:ascii="Source Sans 3" w:cs="Source Sans 3" w:eastAsia="Source Sans 3" w:hAnsi="Source Sans 3"/>
              <w:color w:val="7A7A7A"/>
              <w:sz w:val="17"/>
              <w:szCs w:val="17"/>
            </w:rPr>
            <w:t xml:space="preserve">Seite </w:t>
          </w:r>
          <w:r>
            <w:rPr>
              <w:rFonts w:ascii="Source Sans 3" w:cs="Source Sans 3" w:eastAsia="Source Sans 3" w:hAnsi="Source Sans 3"/>
              <w:color w:val="4A4A4A"/>
              <w:sz w:val="17"/>
              <w:szCs w:val="17"/>
            </w:rPr>
            <w:fldChar w:fldCharType="begin"/>
            <w:instrText xml:space="preserve">PAGE</w:instrText>
            <w:fldChar w:fldCharType="separate"/>
            <w:fldChar w:fldCharType="end"/>
          </w:r>
          <w:r>
            <w:rPr>
              <w:rFonts w:ascii="Source Sans 3" w:cs="Source Sans 3" w:eastAsia="Source Sans 3" w:hAnsi="Source Sans 3"/>
              <w:color w:val="7A7A7A"/>
              <w:sz w:val="17"/>
              <w:szCs w:val="17"/>
            </w:rPr>
            <w:t xml:space="preserve"> / </w:t>
          </w:r>
          <w:r>
            <w:rPr>
              <w:rFonts w:ascii="Source Sans 3" w:cs="Source Sans 3" w:eastAsia="Source Sans 3" w:hAnsi="Source Sans 3"/>
              <w:color w:val="4A4A4A"/>
              <w:sz w:val="17"/>
              <w:szCs w:val="17"/>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left"/>
    </w:pPr>
    <w:r>
      <w:drawing>
        <wp:inline distT="0" distB="0" distL="0" distR="0">
          <wp:extent cx="142875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542925"/>
                  </a:xfrm>
                  <a:prstGeom prst="rect">
                    <a:avLst/>
                  </a:prstGeom>
                </pic:spPr>
              </pic:pic>
            </a:graphicData>
          </a:graphic>
        </wp:inline>
      </w:drawing>
    </w:r>
  </w:p>
  <w:p>
    <w:pPr>
      <w:spacing w:after="0" w:before="0"/>
    </w:pPr>
    <w:r>
      <w:rPr>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80"/>
      </w:pPr>
    </w:lvl>
    <w:lvl w:ilvl="1" w15:tentative="1">
      <w:start w:val="1"/>
      <w:numFmt w:val="bullet"/>
      <w:lvlText w:val="◦"/>
      <w:lvlJc w:val="left"/>
      <w:pPr>
        <w:ind w:left="720" w:hanging="280"/>
      </w:pPr>
    </w:lvl>
    <w:lvl w:ilvl="2" w15:tentative="1">
      <w:start w:val="1"/>
      <w:numFmt w:val="bullet"/>
      <w:lvlText w:val="▪"/>
      <w:lvlJc w:val="left"/>
      <w:pPr>
        <w:ind w:left="1080" w:hanging="280"/>
      </w:pPr>
    </w:lvl>
    <w:lvl w:ilvl="3" w15:tentative="1">
      <w:start w:val="1"/>
      <w:numFmt w:val="bullet"/>
      <w:lvlText w:val="•"/>
      <w:lvlJc w:val="left"/>
      <w:pPr>
        <w:ind w:left="1440" w:hanging="280"/>
      </w:pPr>
    </w:lvl>
    <w:lvl w:ilvl="4" w15:tentative="1">
      <w:start w:val="1"/>
      <w:numFmt w:val="bullet"/>
      <w:lvlText w:val="◦"/>
      <w:lvlJc w:val="left"/>
      <w:pPr>
        <w:ind w:left="1800" w:hanging="280"/>
      </w:pPr>
    </w:lvl>
  </w:abstractNum>
  <w:abstractNum w:abstractNumId="3" w15:restartNumberingAfterBreak="0">
    <w:multiLevelType w:val="hybridMultilevel"/>
    <w:lvl w:ilvl="0" w15:tentative="1">
      <w:start w:val="1"/>
      <w:numFmt w:val="decimal"/>
      <w:lvlText w:val="%1."/>
      <w:lvlJc w:val="left"/>
      <w:pPr>
        <w:ind w:left="360" w:hanging="360"/>
      </w:pPr>
    </w:lvl>
    <w:lvl w:ilvl="1" w15:tentative="1">
      <w:start w:val="1"/>
      <w:numFmt w:val="decimal"/>
      <w:lvlText w:val="%2."/>
      <w:lvlJc w:val="left"/>
      <w:pPr>
        <w:ind w:left="720" w:hanging="360"/>
      </w:pPr>
    </w:lvl>
    <w:lvl w:ilvl="2" w15:tentative="1">
      <w:start w:val="1"/>
      <w:numFmt w:val="decimal"/>
      <w:lvlText w:val="%3."/>
      <w:lvlJc w:val="left"/>
      <w:pPr>
        <w:ind w:left="1080" w:hanging="360"/>
      </w:pPr>
    </w:lvl>
    <w:lvl w:ilvl="3" w15:tentative="1">
      <w:start w:val="1"/>
      <w:numFmt w:val="decimal"/>
      <w:lvlText w:val="%4."/>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ans 3" w:cs="Source Sans 3" w:eastAsia="Source Sans 3" w:hAnsi="Source Sans 3"/>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bjp-rovqfpjclht2_5kl" Type="http://schemas.openxmlformats.org/officeDocument/2006/relationships/hyperlink" Target="https://www.nau.ch/news/europa/influencer-treiben-online-kaufe-bei-jugendlichen-in-die-hohe-67138867" TargetMode="External"/><Relationship Id="rIddmkpvpipibvcmffye6ggv" Type="http://schemas.openxmlformats.org/officeDocument/2006/relationships/hyperlink" Target="https://www.watson.ch/schweiz/digital/630368385-influencer-marketing-gefaehrdet-junge-leute-die-politik-sollte-handeln" TargetMode="External"/><Relationship Id="rIdda9erlr_fgazrylqc9yns" Type="http://schemas.openxmlformats.org/officeDocument/2006/relationships/hyperlink" Target="https://www.srf.ch/play/embed?urn=urn:srf:audio:c6435615-4741-4d5c-9f28-92f267610f08&amp;subdivisions=false" TargetMode="External"/><Relationship Id="rIdl9dj23ff-0g2wvbhnws7s" Type="http://schemas.openxmlformats.org/officeDocument/2006/relationships/hyperlink" Target="https://www.srf.ch/play/embed?urn=urn:srf:video:7b5768ea-7783-4f3d-baa7-e7982a23c61d&amp;subdivisions=false" TargetMode="External"/><Relationship Id="rIdeaxkgoiynhmjwvuf_hop3" Type="http://schemas.openxmlformats.org/officeDocument/2006/relationships/hyperlink" Target="https://schulden.ch/wp-content/uploads/2026/09/sbs-statistik-2025-web.pdf#page=7" TargetMode="External"/><Relationship Id="rId4v2b4cmf7jyrdlrl_0-vw" Type="http://schemas.openxmlformats.org/officeDocument/2006/relationships/hyperlink" Target="https://datawrapper.dwcdn.net/40f7c046d3a53ef1f82d93a4e1b420cf/2/" TargetMode="External"/><Relationship Id="rId3ev079th8lynzb1legz18" Type="http://schemas.openxmlformats.org/officeDocument/2006/relationships/hyperlink" Target="https://www.srf.ch/play/embed?urn=urn:srf:audio:8e303064-455e-330b-bf96-45e5449aecf8&amp;subdivisions=false" TargetMode="External"/><Relationship Id="rIdj0ibgi7imboq35dvrkpun" Type="http://schemas.openxmlformats.org/officeDocument/2006/relationships/hyperlink" Target="https://www.ch.ch/de/steuern-und-finanzen/schulden--betreibungen-und-konkurs/betreibungen/"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645da85b3b591b0cbe92372d7a0699be5b83a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Begleit-Dokument — Konsum verantworten, Version 4.2 (1.3)</dc:title>
  <dc:creator>Kernteam 1 — BBW Winterthur</dc:creator>
  <dc:description>Zwei Hefte in zwei Spuren, ein gemeinsamer Auftrag, ein Kompetenznachweis</dc:description>
  <cp:lastModifiedBy>Un-named</cp:lastModifiedBy>
  <cp:revision>1</cp:revision>
  <dcterms:created xsi:type="dcterms:W3CDTF">2026-10-02T14:15:16.898Z</dcterms:created>
  <dcterms:modified xsi:type="dcterms:W3CDTF">2026-10-02T14:15:16.898Z</dcterms:modified>
</cp:coreProperties>
</file>

<file path=docProps/custom.xml><?xml version="1.0" encoding="utf-8"?>
<Properties xmlns="http://schemas.openxmlformats.org/officeDocument/2006/custom-properties" xmlns:vt="http://schemas.openxmlformats.org/officeDocument/2006/docPropsVTypes"/>
</file>