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33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QUELLE FÜR SEITE 3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4%"/>
                  <w:tcBorders>
                    <w:top w:val="nil" w:sz="0"/>
                    <w:left w:val="nil" w:sz="0"/>
                    <w:bottom w:val="nil" w:sz="0"/>
                    <w:right w:val="nil" w:sz="0"/>
                  </w:tcBorders>
                  <w:tcMar>
                    <w:top w:type="dxa" w:w="0"/>
                    <w:left w:type="dxa" w:w="0"/>
                    <w:bottom w:type="dxa" w:w="0"/>
                    <w:right w:type="dxa" w:w="140"/>
                  </w:tcMar>
                  <w:vAlign w:val="top"/>
                </w:tcPr>
                <w:p>
                  <w:pPr>
                    <w:spacing w:after="0"/>
                  </w:pPr>
                  <w:r>
                    <w:rPr>
                      <w:b/>
                      <w:bCs/>
                      <w:sz w:val="20"/>
                      <w:szCs w:val="20"/>
                    </w:rPr>
                    <w:t xml:space="preserve">Statistik 2025 der Schuldenberatungen: Gründe der Überschuldung</w:t>
                  </w:r>
                  <w:r>
                    <w:rPr>
                      <w:sz w:val="20"/>
                      <w:szCs w:val="20"/>
                    </w:rPr>
                    <w:t xml:space="preserve"> · Schuldenberatung Schweiz, September 2026</w:t>
                  </w:r>
                </w:p>
              </w:tc>
              <w:tc>
                <w:tcPr>
                  <w:tcW w:type="pct" w:w="26%"/>
                  <w:tcBorders>
                    <w:top w:val="nil" w:sz="0"/>
                    <w:left w:val="nil" w:sz="0"/>
                    <w:bottom w:val="nil" w:sz="0"/>
                    <w:right w:val="nil" w:sz="0"/>
                  </w:tcBorders>
                  <w:tcMar>
                    <w:top w:type="dxa" w:w="0"/>
                    <w:left w:type="dxa" w:w="140"/>
                    <w:bottom w:type="dxa" w:w="0"/>
                    <w:right w:type="dxa" w:w="0"/>
                  </w:tcMar>
                  <w:vAlign w:val="bottom"/>
                </w:tcPr>
                <w:p>
                  <w:pPr>
                    <w:spacing w:after="0"/>
                    <w:jc w:val="right"/>
                  </w:pPr>
                  <w:r>
                    <w:rPr>
                      <w:i/>
                      <w:iCs/>
                      <w:color w:val="4A5057"/>
                      <w:sz w:val="18"/>
                      <w:szCs w:val="18"/>
                    </w:rPr>
                    <w:t xml:space="preserve">→ QR-Code auf Seite 3</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2471A3"/>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 (Budget aufstellen)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Anpassungen und Regeln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Schritt für Schritt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QUELLE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0%"/>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Statistik 2025 der Schuldenberatungen: Gründe der Überschuldung</w:t>
                  </w:r>
                </w:p>
                <w:p>
                  <w:pPr>
                    <w:spacing w:after="60"/>
                  </w:pPr>
                  <w:r>
                    <w:rPr>
                      <w:color w:val="4A5057"/>
                      <w:sz w:val="18"/>
                      <w:szCs w:val="18"/>
                    </w:rPr>
                    <w:t xml:space="preserve">Schuldenberatung Schweiz, September 2026</w:t>
                  </w:r>
                </w:p>
                <w:p>
                  <w:pPr>
                    <w:spacing w:after="60"/>
                  </w:pPr>
                  <w:r>
                    <w:rPr>
                      <w:sz w:val="19"/>
                      <w:szCs w:val="19"/>
                    </w:rPr>
                    <w:t xml:space="preserve">Auswertung der Schuldenberatungsstellen (2025, rund 6000 ratsuchende Haushalte): aus welchen Gründen sich Menschen überschulden und wie lange sie schon Schulden haben.</w:t>
                  </w:r>
                </w:p>
                <w:p>
                  <w:pPr>
                    <w:spacing w:after="0"/>
                  </w:pPr>
                  <w:r>
                    <w:rPr>
                      <w:b/>
                      <w:bCs/>
                      <w:sz w:val="18"/>
                      <w:szCs w:val="18"/>
                    </w:rPr>
                    <w:t xml:space="preserve">Ausschnitt: </w:t>
                  </w:r>
                  <w:r>
                    <w:rPr>
                      <w:color w:val="4A5057"/>
                      <w:sz w:val="18"/>
                      <w:szCs w:val="18"/>
                    </w:rPr>
                    <w:t xml:space="preserve">Seite 7, Darstellung 4 und 5</w:t>
                  </w:r>
                  <w:r>
                    <w:rPr>
                      <w:color w:val="4A5057"/>
                      <w:sz w:val="18"/>
                      <w:szCs w:val="18"/>
                    </w:rPr>
                    <w:t xml:space="preserve"> · </w:t>
                  </w:r>
                  <w:r>
                    <w:rPr>
                      <w:b/>
                      <w:bCs/>
                      <w:sz w:val="18"/>
                      <w:szCs w:val="18"/>
                    </w:rPr>
                    <w:t xml:space="preserve">Umfang: </w:t>
                  </w:r>
                  <w:r>
                    <w:rPr>
                      <w:color w:val="4A5057"/>
                      <w:sz w:val="18"/>
                      <w:szCs w:val="18"/>
                    </w:rPr>
                    <w:t xml:space="preserve">1 Seite, rund 114 Wörter Text</w:t>
                  </w:r>
                </w:p>
              </w:tc>
              <w:tc>
                <w:tcPr>
                  <w:tcW w:type="pct" w:w="30%"/>
                  <w:tcBorders>
                    <w:top w:val="nil" w:sz="0"/>
                    <w:left w:val="nil" w:sz="0"/>
                    <w:bottom w:val="nil" w:sz="0"/>
                    <w:right w:val="nil" w:sz="0"/>
                  </w:tcBorders>
                  <w:tcMar>
                    <w:top w:type="dxa" w:w="0"/>
                    <w:left w:type="dxa" w:w="140"/>
                    <w:bottom w:type="dxa" w:w="0"/>
                    <w:right w:type="dxa" w:w="0"/>
                  </w:tcMar>
                  <w:vAlign w:val="top"/>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1.3.1_konsum_verantworten_v42#b</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Lesen Sie die Statistik (QR-Seite). Tragen Sie vier Werte mit Aussage ein, die zeigen, wie Menschen in der Schweiz in Schulden geraten oder wie lange sie darin bleiben. Ordnen Sie jedem Wert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Was gemessen</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auffälliger Wert</w:t>
            </w:r>
          </w:p>
        </w:tc>
        <w:tc>
          <w:tcPr>
            <w:tcW w:type="pct" w:w="3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Aussage</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Gründe für Schulden nennt die Statistik — und welcher davon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Quelle · Raster</w:t>
            </w:r>
            <w:r>
              <w:rPr>
                <w:i/>
                <w:iCs/>
                <w:color w:val="4A5057"/>
                <w:sz w:val="18"/>
                <w:szCs w:val="18"/>
              </w:rPr>
              <w:t xml:space="preserve">   → liefert: Schuldenwege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Lesen Sie zuerst die Titel genau: Wer wird gezählt, und für welches Jahr gilt der Wert?</w:t>
            </w:r>
          </w:p>
          <w:p>
            <w:pPr>
              <w:pStyle w:val="ListParagraph"/>
              <w:numPr>
                <w:ilvl w:val="0"/>
                <w:numId w:val="1"/>
              </w:numPr>
              <w:spacing w:after="30"/>
            </w:pPr>
            <w:r>
              <w:rPr>
                <w:color w:val="4A5057"/>
                <w:sz w:val="18"/>
                <w:szCs w:val="18"/>
              </w:rPr>
              <w:t xml:space="preserve">Suchen Sie Zeilen, die zu Ihrem Fall passen, etwa zu Alter, Planung oder Fixkosten.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Statistik nennen … % der Haushalte …»</w:t>
            </w:r>
          </w:p>
          <w:p>
            <w:pPr>
              <w:spacing w:after="30"/>
            </w:pPr>
            <w:r>
              <w:rPr>
                <w:i/>
                <w:iCs/>
                <w:color w:val="4A5057"/>
                <w:sz w:val="18"/>
                <w:szCs w:val="18"/>
              </w:rPr>
              <w:t xml:space="preserve">«In meinem Budget zeigt sich das bei …»</w:t>
            </w:r>
          </w:p>
          <w:p>
            <w:pPr>
              <w:spacing w:after="30"/>
            </w:pPr>
            <w:r>
              <w:rPr>
                <w:i/>
                <w:iCs/>
                <w:color w:val="4A5057"/>
                <w:sz w:val="18"/>
                <w:szCs w:val="18"/>
              </w:rPr>
              <w:t xml:space="preserve">«Die Statistik zeigt nicht,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zeigen, wo Ihre Schutzregeln in LF4 ansetzen; markieren Sie die Posten im Budget.</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Kürzen Sie dort, wo Sie für Ihr Geld am wenigsten zurückbekommen.</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AUDIO · 3:06 MIN</w:t>
                  </w:r>
                </w:p>
                <w:p>
                  <w:pPr>
                    <w:spacing w:after="20"/>
                  </w:pPr>
                  <w:r>
                    <w:rPr>
                      <w:b/>
                      <w:bCs/>
                      <w:sz w:val="20"/>
                      <w:szCs w:val="20"/>
                    </w:rPr>
                    <w:t xml:space="preserve">Neuer Aargauer Verein hilft jungen Leuten mit Schulden</w:t>
                  </w:r>
                </w:p>
                <w:p>
                  <w:pPr>
                    <w:spacing w:after="60"/>
                  </w:pPr>
                  <w:r>
                    <w:rPr>
                      <w:color w:val="4A5057"/>
                      <w:sz w:val="18"/>
                      <w:szCs w:val="18"/>
                    </w:rPr>
                    <w:t xml:space="preserve">SRF Regionaljournal AG/SO, 06.02.2025</w:t>
                  </w:r>
                </w:p>
                <w:p>
                  <w:pPr>
                    <w:spacing w:after="30"/>
                  </w:pPr>
                  <w:r>
                    <w:rPr>
                      <w:b/>
                      <w:bCs/>
                      <w:sz w:val="18"/>
                      <w:szCs w:val="18"/>
                    </w:rPr>
                    <w:t xml:space="preserve">Hören Sie 00:04–03:10</w:t>
                  </w:r>
                </w:p>
                <w:p>
                  <w:pPr>
                    <w:spacing w:after="60"/>
                  </w:pPr>
                  <w:r>
                    <w:rPr>
                      <w:color w:val="4A5057"/>
                      <w:sz w:val="17"/>
                      <w:szCs w:val="17"/>
                    </w:rPr>
                    <w:t xml:space="preserve">Radiobeitrag in Mundart: warum junge Leute in Schulden geraten (Druck durch soziale Medien, kein Vorbild zu Hause) und wie ein Verein sie früh an Beratungsstellen verweisen will.</w:t>
                  </w:r>
                </w:p>
                <w:p>
                  <w:pPr>
                    <w:spacing w:after="0"/>
                  </w:pPr>
                  <w:r>
                    <w:rPr>
                      <w:i/>
                      <w:iCs/>
                      <w:sz w:val="19"/>
                      <w:szCs w:val="19"/>
                    </w:rPr>
                    <w:t xml:space="preserve">Warum rutschen junge Leute laut Beitrag in Schulden — und wie will der Verein früh helfen?</w:t>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WEBSEITE · 384 WÖRTER</w:t>
                  </w:r>
                </w:p>
                <w:p>
                  <w:pPr>
                    <w:spacing w:after="20"/>
                  </w:pPr>
                  <w:r>
                    <w:rPr>
                      <w:b/>
                      <w:bCs/>
                      <w:sz w:val="20"/>
                      <w:szCs w:val="20"/>
                    </w:rPr>
                    <w:t xml:space="preserve">Betreibung: Zahlungsbefehl, Rechtsvorschlag, Pfändung</w:t>
                  </w:r>
                </w:p>
                <w:p>
                  <w:pPr>
                    <w:spacing w:after="60"/>
                  </w:pPr>
                  <w:r>
                    <w:rPr>
                      <w:color w:val="4A5057"/>
                      <w:sz w:val="18"/>
                      <w:szCs w:val="18"/>
                    </w:rPr>
                    <w:t xml:space="preserve">ch.ch – Bund, Kantone, Gemeinden, o. D.</w:t>
                  </w:r>
                </w:p>
                <w:p>
                  <w:pPr>
                    <w:spacing w:after="30"/>
                  </w:pPr>
                  <w:r>
                    <w:rPr>
                      <w:b/>
                      <w:bCs/>
                      <w:sz w:val="18"/>
                      <w:szCs w:val="18"/>
                    </w:rPr>
                    <w:t xml:space="preserve">Lesen Sie: Abschnitt «Werden Sie betrieben?»</w:t>
                  </w:r>
                </w:p>
                <w:p>
                  <w:pPr>
                    <w:spacing w:after="60"/>
                  </w:pPr>
                  <w:r>
                    <w:rPr>
                      <w:color w:val="4A5057"/>
                      <w:sz w:val="17"/>
                      <w:szCs w:val="17"/>
                    </w:rPr>
                    <w:t xml:space="preserve">Amtliche Auskunft in einfachen Schritten: von der Mahnung über den Zahlungsbefehl (20 Tage zum Zahlen, 10 Tage für den Rechtsvorschlag) bis zur Pfändung.</w:t>
                  </w:r>
                </w:p>
                <w:p>
                  <w:pPr>
                    <w:spacing w:after="0"/>
                  </w:pPr>
                  <w:r>
                    <w:rPr>
                      <w:i/>
                      <w:iCs/>
                      <w:sz w:val="19"/>
                      <w:szCs w:val="19"/>
                    </w:rPr>
                    <w:t xml:space="preserve">Wie läuft eine Betreibung ab — und was können Sie tun, wenn ein Zahlungsbefehl kommt?</w:t>
                  </w:r>
                </w:p>
              </w:tc>
            </w:tr>
            <w:tr>
              <w:trPr>
                <w:cantSplit/>
              </w:trPr>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2471A3"/>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2471A3"/>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r>
          </w:tbl>
          <w:p>
            <w:pPr>
              <w:spacing w:after="0" w:before="80"/>
            </w:pPr>
            <w:r>
              <w:rPr>
                <w:color w:val="4A5057"/>
                <w:sz w:val="18"/>
                <w:szCs w:val="18"/>
              </w:rPr>
              <w:t xml:space="preserve">Die Links zu beiden Quellen stehen auf der QR-Seite (Code auf Seite 3).</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Eine Grafik lesen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zur Quelle (S. 3)</w:t>
            </w:r>
          </w:p>
          <w:p>
            <w:pPr>
              <w:spacing w:after="20"/>
            </w:pPr>
            <w:r>
              <w:rPr>
                <w:b/>
                <w:bCs/>
                <w:color w:val="4A5057"/>
                <w:sz w:val="12"/>
                <w:szCs w:val="12"/>
              </w:rPr>
              <w:t xml:space="preserve">SO GEHT DAS</w:t>
            </w:r>
          </w:p>
          <w:p>
            <w:pPr>
              <w:spacing w:after="70"/>
            </w:pPr>
            <w:r>
              <w:rPr>
                <w:sz w:val="16"/>
                <w:szCs w:val="16"/>
              </w:rPr>
              <w:t xml:space="preserve">1 Titel, Quelle und Jahr lesen: Was wurde wann bei wem gemessen?  2 Achsen und Legende klären: Prozent oder Anzahl? Welche Farbe bedeutet was?  3 Den grössten und den kleinsten Wert suchen und notieren.  4 Eine Aussage in einem Satz formulieren: «Am häufigsten … ».</w:t>
            </w:r>
          </w:p>
          <w:p>
            <w:pPr>
              <w:spacing w:after="20"/>
            </w:pPr>
            <w:r>
              <w:rPr>
                <w:b/>
                <w:bCs/>
                <w:color w:val="4A5057"/>
                <w:sz w:val="12"/>
                <w:szCs w:val="12"/>
              </w:rPr>
              <w:t xml:space="preserve">WORAUF ES ANKOMMT</w:t>
            </w:r>
          </w:p>
          <w:p>
            <w:pPr>
              <w:spacing w:after="70"/>
            </w:pPr>
            <w:r>
              <w:rPr>
                <w:sz w:val="16"/>
                <w:szCs w:val="16"/>
              </w:rPr>
              <w:t xml:space="preserve">Eine Zahl ohne Einheit und Bezugsgruppe ist kein Beleg.</w:t>
            </w:r>
          </w:p>
          <w:p>
            <w:pPr>
              <w:spacing w:after="20"/>
            </w:pPr>
            <w:r>
              <w:rPr>
                <w:b/>
                <w:bCs/>
                <w:color w:val="4A5057"/>
                <w:sz w:val="12"/>
                <w:szCs w:val="12"/>
              </w:rPr>
              <w:t xml:space="preserve">SO SIEHT DAS AUS</w:t>
            </w:r>
          </w:p>
          <w:p>
            <w:pPr>
              <w:spacing w:after="10"/>
              <w:ind w:left="160"/>
            </w:pPr>
            <w:r>
              <w:rPr>
                <w:color w:val="4A5057"/>
                <w:sz w:val="15"/>
                <w:szCs w:val="15"/>
              </w:rPr>
              <w:t xml:space="preserve">Was gemessen: Anteil mit Vereinssport · auffälliger Wert: «jede dritte Person» (Beispielwert) · Aussage: Vereine erreichen viele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Prozent und Anzahl verwechseln. Abhilfe: Einheit immer mitschreiben.</w:t>
            </w:r>
          </w:p>
          <w:p>
            <w:pPr>
              <w:spacing w:before="40"/>
            </w:pPr>
            <w:r>
              <w:rPr>
                <w:color w:val="4A5057"/>
                <w:sz w:val="15"/>
                <w:szCs w:val="15"/>
              </w:rPr>
              <w:t xml:space="preserve">Titel, Achsen, Legende — dann erst die Zahlen.</w:t>
            </w:r>
          </w:p>
        </w:tc>
      </w:tr>
    </w:tbl>
    <w:p>
      <w:pPr>
        <w:keepNext/>
        <w:spacing w:after="40" w:before="120"/>
      </w:pPr>
      <w:r>
        <w:rPr>
          <w:rFonts w:ascii="Consolas" w:cs="Consolas" w:eastAsia="Consolas" w:hAnsi="Consolas"/>
          <w:b/>
          <w:bCs/>
          <w:color w:val="2471A3"/>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Nettolohn CHF 950, Nachzahlung fürs Handy offen</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wird knapp</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Schuldenrisiko</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Monatsbudget (CHF)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4A5057"/>
                            <w:sz w:val="14"/>
                            <w:szCs w:val="14"/>
                          </w:rPr>
                          <w:t xml:space="preserve">Posten</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4A5057"/>
                            <w:sz w:val="14"/>
                            <w:szCs w:val="14"/>
                          </w:rPr>
                          <w:t xml:space="preserve">vorher</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4A5057"/>
                            <w:sz w:val="14"/>
                            <w:szCs w:val="14"/>
                          </w:rPr>
                          <w:t xml:space="preserve">nachher</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Nettolohn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950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950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Haushaltsbeitrag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Handy-Abo, Musik</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Verpflegung auswärts</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Kleider</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Ausgang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Hobby, Geschenke</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Rückstellung: Ferien, Sparen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70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Nachzahlung Handy (Roaming)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Saldo</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−52</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+28</w:t>
                        </w:r>
                      </w:p>
                    </w:tc>
                  </w:tr>
                </w:tbl>
                <w:p>
                  <w:pPr>
                    <w:spacing w:after="0" w:before="0" w:line="20" w:lineRule="exact"/>
                  </w:pPr>
                  <w:r>
                    <w:t xml:space="preserve"/>
                  </w:r>
                </w:p>
              </w:tc>
              <w:tc>
                <w:tcPr>
                  <w:tcW w:type="pct" w:w="3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Anpassungen und Schutzregeln</w:t>
                  </w:r>
                </w:p>
                <w:p>
                  <w:pPr>
                    <w:spacing w:after="10" w:before="0" w:line="176" w:lineRule="exact"/>
                  </w:pPr>
                  <w:r>
                    <w:rPr>
                      <w:rFonts w:ascii="Segoe Print" w:cs="Segoe Print" w:eastAsia="Segoe Print" w:hAnsi="Segoe Print"/>
                      <w:color w:val="1A1D22"/>
                      <w:sz w:val="14"/>
                      <w:szCs w:val="14"/>
                    </w:rPr>
                    <w:t xml:space="preserve">Nachzahlung am Zahltag zuerst überweisen — sonst folgt eine Mahnung.</w:t>
                  </w:r>
                </w:p>
                <w:p>
                  <w:pPr>
                    <w:spacing w:after="10" w:before="0" w:line="176" w:lineRule="exact"/>
                  </w:pPr>
                  <w:r>
                    <w:rPr>
                      <w:rFonts w:ascii="Segoe Print" w:cs="Segoe Print" w:eastAsia="Segoe Print" w:hAnsi="Segoe Print"/>
                      <w:color w:val="1A1D22"/>
                      <w:sz w:val="14"/>
                      <w:szCs w:val="14"/>
                    </w:rPr>
                    <w:t xml:space="preserve">Ausgang und Kleider je CHF 50 tiefer — das steuere ich selbst.</w:t>
                  </w:r>
                </w:p>
                <w:p>
                  <w:pPr>
                    <w:spacing w:after="10" w:before="0" w:line="176" w:lineRule="exact"/>
                  </w:pPr>
                  <w:r>
                    <w:rPr>
                      <w:rFonts w:ascii="Segoe Print" w:cs="Segoe Print" w:eastAsia="Segoe Print" w:hAnsi="Segoe Print"/>
                      <w:color w:val="1A1D22"/>
                      <w:sz w:val="14"/>
                      <w:szCs w:val="14"/>
                    </w:rPr>
                    <w:t xml:space="preserve">Regel 1: Wenn ich ins Ausland fahre, schalte ich das Roaming aus.</w:t>
                  </w:r>
                </w:p>
                <w:p>
                  <w:pPr>
                    <w:spacing w:after="10" w:before="0" w:line="176" w:lineRule="exact"/>
                  </w:pPr>
                  <w:r>
                    <w:rPr>
                      <w:rFonts w:ascii="Segoe Print" w:cs="Segoe Print" w:eastAsia="Segoe Print" w:hAnsi="Segoe Print"/>
                      <w:color w:val="1A1D22"/>
                      <w:sz w:val="14"/>
                      <w:szCs w:val="14"/>
                    </w:rPr>
                    <w:t xml:space="preserve">Regel 2: Wenn der Lohn kommt, lege ich zuerst CHF 70 zur Seite.</w:t>
                  </w:r>
                </w:p>
              </w:tc>
              <w:tc>
                <w:tcPr>
                  <w:tcW w:type="pct" w:w="30%"/>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Gesprächsnotiz</w:t>
                  </w:r>
                </w:p>
                <w:p>
                  <w:pPr>
                    <w:spacing w:after="10" w:before="0" w:line="176" w:lineRule="exact"/>
                  </w:pPr>
                  <w:r>
                    <w:rPr>
                      <w:rFonts w:ascii="Segoe Print" w:cs="Segoe Print" w:eastAsia="Segoe Print" w:hAnsi="Segoe Print"/>
                      <w:color w:val="1A1D22"/>
                      <w:sz w:val="14"/>
                      <w:szCs w:val="14"/>
                    </w:rPr>
                    <w:t xml:space="preserve">Argument 1: Der Saldo ist plus 28 statt minus 52.</w:t>
                  </w:r>
                </w:p>
                <w:p>
                  <w:pPr>
                    <w:spacing w:after="10" w:before="0" w:line="176" w:lineRule="exact"/>
                  </w:pPr>
                  <w:r>
                    <w:rPr>
                      <w:rFonts w:ascii="Segoe Print" w:cs="Segoe Print" w:eastAsia="Segoe Print" w:hAnsi="Segoe Print"/>
                      <w:color w:val="1A1D22"/>
                      <w:sz w:val="14"/>
                      <w:szCs w:val="14"/>
                    </w:rPr>
                    <w:t xml:space="preserve">Argument 2: Die Nachzahlung ist diesen Monat erledigt.</w:t>
                  </w:r>
                </w:p>
                <w:p>
                  <w:pPr>
                    <w:spacing w:after="10" w:before="0" w:line="176" w:lineRule="exact"/>
                  </w:pPr>
                  <w:r>
                    <w:rPr>
                      <w:rFonts w:ascii="Segoe Print" w:cs="Segoe Print" w:eastAsia="Segoe Print" w:hAnsi="Segoe Print"/>
                      <w:color w:val="1A1D22"/>
                      <w:sz w:val="14"/>
                      <w:szCs w:val="14"/>
                    </w:rPr>
                    <w:t xml:space="preserve">Argument 3: Ausgang bleibt, nur kleiner.</w:t>
                  </w:r>
                </w:p>
                <w:p>
                  <w:pPr>
                    <w:spacing w:after="10" w:before="0" w:line="176" w:lineRule="exact"/>
                  </w:pPr>
                  <w:r>
                    <w:rPr>
                      <w:rFonts w:ascii="Segoe Print" w:cs="Segoe Print" w:eastAsia="Segoe Print" w:hAnsi="Segoe Print"/>
                      <w:color w:val="1A1D22"/>
                      <w:sz w:val="14"/>
                      <w:szCs w:val="14"/>
                    </w:rPr>
                    <w:t xml:space="preserve">Rückfrage: «Wo würdest du zuerst kürzen?»</w:t>
                  </w:r>
                </w:p>
                <w:p>
                  <w:pPr>
                    <w:spacing w:after="10" w:before="0" w:line="176" w:lineRule="exact"/>
                  </w:pPr>
                  <w:r>
                    <w:rPr>
                      <w:rFonts w:ascii="Segoe Print" w:cs="Segoe Print" w:eastAsia="Segoe Print" w:hAnsi="Segoe Print"/>
                      <w:color w:val="1A1D22"/>
                      <w:sz w:val="14"/>
                      <w:szCs w:val="14"/>
                    </w:rPr>
                    <w:t xml:space="preserve">Einwand «Du sparst dich kaputt» — Antwort: «CHF 140 für Ausgang bleiben mir.»</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2471A3"/>
                <w:sz w:val="14"/>
                <w:szCs w:val="14"/>
              </w:rPr>
              <w:t xml:space="preserve">MEIN BUDGET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Nettolohn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Fixe Kosten</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Variable Kosten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Rückstellung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Saldo</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2471A3"/>
                <w:sz w:val="14"/>
                <w:szCs w:val="14"/>
              </w:rPr>
              <w:t xml:space="preserve">WEGE IN DIE SCHULDEN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Engpass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Mahnung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Schuldenspirale</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2471A3" w:sz="12"/>
                    <w:left w:val="single" w:color="2471A3" w:sz="12"/>
                    <w:bottom w:val="single" w:color="2471A3" w:sz="12"/>
                    <w:right w:val="single" w:color="2471A3"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Anpassung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Schutzregel</w:t>
                  </w:r>
                </w:p>
              </w:tc>
            </w:tr>
          </w:tbl>
          <w:p>
            <w:pPr>
              <w:spacing w:after="60" w:before="80"/>
              <w:jc w:val="left"/>
            </w:pPr>
            <w:r>
              <w:rPr>
                <w:rFonts w:ascii="Consolas" w:cs="Consolas" w:eastAsia="Consolas" w:hAnsi="Consolas"/>
                <w:b/>
                <w:bCs/>
                <w:color w:val="2471A3"/>
                <w:sz w:val="14"/>
                <w:szCs w:val="14"/>
              </w:rPr>
              <w:t xml:space="preserve">ANPASSEN UND SCHÜTZEN</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2471A3"/>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Nettolohn</w:t>
            </w:r>
            <w:r>
              <w:rPr>
                <w:color w:val="4A5057"/>
                <w:sz w:val="15"/>
                <w:szCs w:val="15"/>
              </w:rPr>
              <w:t xml:space="preserve"> Bruttolohn minus Sozialabzüge.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Saldo</w:t>
            </w:r>
            <w:r>
              <w:rPr>
                <w:color w:val="4A5057"/>
                <w:sz w:val="15"/>
                <w:szCs w:val="15"/>
              </w:rPr>
              <w:t xml:space="preserve"> Differenz zwischen Einnahmen und Ausgaben.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Anpassung</w:t>
            </w:r>
            <w:r>
              <w:rPr>
                <w:color w:val="4A5057"/>
                <w:sz w:val="15"/>
                <w:szCs w:val="15"/>
              </w:rPr>
              <w:t xml:space="preserve"> Änderung an einem Budgetposten, damit der Saldo aufgeht.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Fixe Kosten</w:t>
            </w:r>
            <w:r>
              <w:rPr>
                <w:color w:val="4A5057"/>
                <w:sz w:val="15"/>
                <w:szCs w:val="15"/>
              </w:rPr>
              <w:t xml:space="preserve"> Ausgaben, die jeden Monat gleich bleiben und sich kurzfristig nicht ändern lassen.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Engpass</w:t>
            </w:r>
            <w:r>
              <w:rPr>
                <w:color w:val="4A5057"/>
                <w:sz w:val="15"/>
                <w:szCs w:val="15"/>
              </w:rPr>
              <w:t xml:space="preserve"> Zeitpunkt oder Posten, bei dem das Geld nicht mehr reicht.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Schutzregel</w:t>
            </w:r>
            <w:r>
              <w:rPr>
                <w:color w:val="4A5057"/>
                <w:sz w:val="15"/>
                <w:szCs w:val="15"/>
              </w:rPr>
              <w:t xml:space="preserve"> Wenn-dann-Regel, die mich vor neuen Schulden schützt.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Variable Kosten</w:t>
            </w:r>
            <w:r>
              <w:rPr>
                <w:color w:val="4A5057"/>
                <w:sz w:val="15"/>
                <w:szCs w:val="15"/>
              </w:rPr>
              <w:t xml:space="preserve"> Ausgaben, die ich durch mein Verhalten beeinflussen kann.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Mahnung</w:t>
            </w:r>
            <w:r>
              <w:rPr>
                <w:color w:val="4A5057"/>
                <w:sz w:val="15"/>
                <w:szCs w:val="15"/>
              </w:rPr>
              <w:t xml:space="preserve"> Zahlungsaufforderung nach Ablauf der Zahlungsfrist.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Überschuldung</w:t>
            </w:r>
            <w:r>
              <w:rPr>
                <w:color w:val="4A5057"/>
                <w:sz w:val="15"/>
                <w:szCs w:val="15"/>
              </w:rPr>
              <w:t xml:space="preserve"> Schulden, die sich aus dem Einkommen nicht mehr in absehbarer Zeit abzahlen lassen.</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Rückstellung</w:t>
            </w:r>
            <w:r>
              <w:rPr>
                <w:color w:val="4A5057"/>
                <w:sz w:val="15"/>
                <w:szCs w:val="15"/>
              </w:rPr>
              <w:t xml:space="preserve"> Geld, das für spätere, grössere Ausgaben zur Seite gelegt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Schuldenspirale</w:t>
            </w:r>
            <w:r>
              <w:rPr>
                <w:color w:val="4A5057"/>
                <w:sz w:val="15"/>
                <w:szCs w:val="15"/>
              </w:rPr>
              <w:t xml:space="preserve"> Dauernd über den eigenen Verhältnissen leben, sodass die Schulden weiter wachsen.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2471A3" w:sz="8" w:space="2"/>
        </w:pBdr>
        <w:spacing w:after="20" w:before="0"/>
      </w:pPr>
      <w:r>
        <w:rPr>
          <w:rFonts w:ascii="Consolas" w:cs="Consolas" w:eastAsia="Consolas" w:hAnsi="Consolas"/>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erklärt drei Kostenarten und die Schuldenspirale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die Zahlen, den Saldo und die knappen Posten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nennt Anpassungen, zwei Regeln und den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zur Quelle (S. 3) mit vier Zeilen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Budget und Gespräch</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Saldo vor und nach den Anpassungen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Zwei überprüfbare Schutzregeln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Gespräch geführt, Notiz mit Argumenten, Rückfrage, Antwort auf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c27774d115a52d32053918fd0cb81a1f1146d88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MIT MEDIEN</dc:description>
  <cp:lastModifiedBy>Un-named</cp:lastModifiedBy>
  <cp:revision>1</cp:revision>
  <dcterms:created xsi:type="dcterms:W3CDTF">2026-10-02T14:15:16.630Z</dcterms:created>
  <dcterms:modified xsi:type="dcterms:W3CDTF">2026-10-02T14:15:16.630Z</dcterms:modified>
</cp:coreProperties>
</file>

<file path=docProps/custom.xml><?xml version="1.0" encoding="utf-8"?>
<Properties xmlns="http://schemas.openxmlformats.org/officeDocument/2006/custom-properties" xmlns:vt="http://schemas.openxmlformats.org/officeDocument/2006/docPropsVTypes"/>
</file>