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pBdr>
          <w:top w:val="single" w:color="D8DBE0" w:sz="4" w:space="3"/>
        </w:pBdr>
        <w:spacing w:after="30" w:before="180"/>
      </w:pPr>
      <w:r>
        <w:rPr>
          <w:rFonts w:ascii="Consolas" w:cs="Consolas" w:eastAsia="Consolas" w:hAnsi="Consolas"/>
          <w:b/>
          <w:bCs/>
          <w:color w:val="2471A3"/>
          <w:sz w:val="16"/>
          <w:szCs w:val="16"/>
        </w:rPr>
        <w:t xml:space="preserve">LP</w:t>
      </w:r>
    </w:p>
    <w:p>
      <w:pPr>
        <w:keepNext/>
        <w:keepLines/>
        <w:spacing w:after="80" w:before="140" w:line="300" w:lineRule="auto"/>
      </w:pPr>
      <w:r>
        <w:rPr>
          <w:b/>
          <w:bCs/>
          <w:color w:val="1A1D22"/>
          <w:sz w:val="26"/>
          <w:szCs w:val="26"/>
        </w:rPr>
        <w:t xml:space="preserve">Lösungsblatt · Mein Budget, meine Regeln, mein Budgetgespräch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Borders>
              <w:top w:val="dashed" w:color="4A5057" w:sz="4"/>
              <w:left w:val="single" w:color="2471A3" w:sz="24"/>
              <w:bottom w:val="dashed" w:color="4A5057" w:sz="4"/>
              <w:right w:val="dashed" w:color="4A5057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2471A3"/>
                <w:sz w:val="14"/>
                <w:szCs w:val="14"/>
              </w:rPr>
              <w:t xml:space="preserve">NUR FÜR DIE LEHRPERSON</w:t>
            </w:r>
          </w:p>
          <w:p>
            <w:pPr>
              <w:spacing w:after="0" w:line="264" w:lineRule="auto"/>
            </w:pPr>
            <w:r>
              <w:rPr>
                <w:sz w:val="19"/>
                <w:szCs w:val="19"/>
              </w:rPr>
              <w:t xml:space="preserve">Eine mögliche Lösung mit den Zahlen der Situation; die Lernenden arbeiten mit eigenen Zahlen. Erst zeigen, wenn das eigene Budget steht. Ein Saldo von 0 genügt, wenn die Rechnung bezahlt ist und eine Rückstellung beginnt.</w:t>
            </w:r>
          </w:p>
        </w:tc>
      </w:tr>
    </w:tbl>
    <w:p>
      <w:pPr>
        <w:spacing w:after="0" w:before="0" w:line="200" w:lineRule="exact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8B9099" w:sz="6"/>
              <w:left w:val="single" w:color="8B9099" w:sz="6"/>
              <w:bottom w:val="single" w:color="8B9099" w:sz="6"/>
              <w:right w:val="single" w:color="8B9099" w:sz="6"/>
            </w:tcBorders>
            <w:tcMar>
              <w:top w:type="dxa" w:w="200"/>
              <w:left w:type="dxa" w:w="260"/>
              <w:bottom w:type="dxa" w:w="220"/>
              <w:right w:type="dxa" w:w="260"/>
            </w:tcMar>
          </w:tcPr>
          <w:p>
            <w:pPr>
              <w:keepNext/>
              <w:spacing w:after="0" w:before="0" w:line="280" w:lineRule="exact"/>
            </w:pPr>
            <w:r>
              <w:rPr>
                <w:rFonts w:ascii="Segoe Print" w:cs="Segoe Print" w:eastAsia="Segoe Print" w:hAnsi="Segoe Print"/>
                <w:b/>
                <w:bCs/>
                <w:color w:val="1A1D22"/>
                <w:sz w:val="22"/>
                <w:szCs w:val="22"/>
              </w:rPr>
              <w:t xml:space="preserve">Mögliche Lösung zum Fall: Nettolohn CHF 800, Rechnung mit Mahngebühr CHF 200 offen</w:t>
            </w:r>
          </w:p>
          <w:p>
            <w:pPr>
              <w:keepNext/>
              <w:pBdr>
                <w:bottom w:val="single" w:color="4A5057" w:sz="6" w:space="1"/>
              </w:pBdr>
              <w:spacing w:after="40" w:before="0" w:line="280" w:lineRule="exact"/>
            </w:pPr>
            <w:r>
              <w:rPr>
                <w:rFonts w:ascii="Segoe UI Symbol" w:cs="Segoe UI Symbol" w:eastAsia="Segoe UI Symbol" w:hAnsi="Segoe UI Symbol"/>
                <w:color w:val="1A1D22"/>
                <w:sz w:val="19"/>
                <w:szCs w:val="19"/>
              </w:rPr>
              <w:t xml:space="preserve">●</w:t>
            </w:r>
            <w:r>
              <w:rPr>
                <w:rFonts w:ascii="Segoe Print" w:cs="Segoe Print" w:eastAsia="Segoe Print" w:hAnsi="Segoe Print"/>
                <w:color w:val="4A5057"/>
                <w:sz w:val="19"/>
                <w:szCs w:val="19"/>
              </w:rPr>
              <w:t xml:space="preserve"> wird knapp</w:t>
            </w:r>
            <w:r>
              <w:rPr>
                <w:rFonts w:ascii="Segoe Print" w:cs="Segoe Print" w:eastAsia="Segoe Print" w:hAnsi="Segoe Print"/>
                <w:color w:val="1A1D22"/>
                <w:sz w:val="19"/>
                <w:szCs w:val="19"/>
              </w:rPr>
              <w:t xml:space="preserve">     </w:t>
            </w:r>
            <w:r>
              <w:rPr>
                <w:rFonts w:ascii="Segoe UI Symbol" w:cs="Segoe UI Symbol" w:eastAsia="Segoe UI Symbol" w:hAnsi="Segoe UI Symbol"/>
                <w:color w:val="1A1D22"/>
                <w:sz w:val="19"/>
                <w:szCs w:val="19"/>
              </w:rPr>
              <w:t xml:space="preserve">○</w:t>
            </w:r>
            <w:r>
              <w:rPr>
                <w:rFonts w:ascii="Segoe Print" w:cs="Segoe Print" w:eastAsia="Segoe Print" w:hAnsi="Segoe Print"/>
                <w:color w:val="4A5057"/>
                <w:sz w:val="19"/>
                <w:szCs w:val="19"/>
              </w:rPr>
              <w:t xml:space="preserve"> Schuldenrisiko</w:t>
            </w:r>
          </w:p>
          <w:p>
            <w:pPr>
              <w:spacing w:after="0" w:before="0" w:line="160" w:lineRule="exact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pct" w:w="47%"/>
                  <w:tcBorders>
                    <w:top w:val="nil" w:color="FFFFFF" w:sz="0"/>
                    <w:left w:val="nil" w:color="FFFFFF" w:sz="0"/>
                    <w:bottom w:val="nil" w:color="FFFFFF" w:sz="0"/>
                    <w:right w:val="nil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60"/>
                  </w:tcMar>
                </w:tcPr>
                <w:p>
                  <w:pPr>
                    <w:keepNext/>
                    <w:pBdr>
                      <w:bottom w:val="single" w:color="2471A3" w:sz="4" w:space="1"/>
                    </w:pBdr>
                    <w:spacing w:after="60" w:before="0" w:line="280" w:lineRule="exact"/>
                  </w:pPr>
                  <w:r>
                    <w:rPr>
                      <w:rFonts w:ascii="Segoe Print" w:cs="Segoe Print" w:eastAsia="Segoe Print" w:hAnsi="Segoe Print"/>
                      <w:b/>
                      <w:bCs/>
                      <w:color w:val="2471A3"/>
                      <w:sz w:val="22"/>
                      <w:szCs w:val="22"/>
                    </w:rPr>
                    <w:t xml:space="preserve">Monatsbudget (CHF)</w:t>
                  </w:r>
                </w:p>
                <w:tbl>
                  <w:tblPr>
                    <w:tblW w:type="pct" w:w="100%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00"/>
                    <w:gridCol w:w="100"/>
                    <w:gridCol w:w="100"/>
                    <w:gridCol w:w="100"/>
                  </w:tblGrid>
                  <w:tr>
                    <w:trPr>
                      <w:tblHeader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single" w:color="4A5057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color w:val="1A1D22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single" w:color="4A5057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4A5057"/>
                            <w:sz w:val="21"/>
                            <w:szCs w:val="21"/>
                          </w:rPr>
                          <w:t xml:space="preserve">Posten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single" w:color="4A5057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4A5057"/>
                            <w:sz w:val="21"/>
                            <w:szCs w:val="21"/>
                          </w:rPr>
                          <w:t xml:space="preserve">vorher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single" w:color="4A5057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4A5057"/>
                            <w:sz w:val="21"/>
                            <w:szCs w:val="21"/>
                          </w:rPr>
                          <w:t xml:space="preserve">nachher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color w:val="1A1D22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1A1D22"/>
                            <w:sz w:val="21"/>
                            <w:szCs w:val="21"/>
                          </w:rPr>
                          <w:t xml:space="preserve">Nettolohn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1A1D22"/>
                            <w:sz w:val="21"/>
                            <w:szCs w:val="21"/>
                          </w:rPr>
                          <w:t xml:space="preserve">800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1A1D22"/>
                            <w:sz w:val="21"/>
                            <w:szCs w:val="21"/>
                          </w:rPr>
                          <w:t xml:space="preserve">800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color w:val="1A1D22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Fix: Haushaltsbeitrag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150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150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color w:val="1A1D22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Fix: Handy-Abo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45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45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UI Symbol" w:cs="Segoe UI Symbol" w:eastAsia="Segoe UI Symbol" w:hAnsi="Segoe UI Symbol"/>
                            <w:color w:val="1A1D22"/>
                            <w:sz w:val="21"/>
                            <w:szCs w:val="21"/>
                          </w:rPr>
                          <w:t xml:space="preserve">○</w:t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Fix: Streaming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20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UI Symbol" w:cs="Segoe UI Symbol" w:eastAsia="Segoe UI Symbol" w:hAnsi="Segoe UI Symbol"/>
                            <w:color w:val="1A1D22"/>
                            <w:sz w:val="21"/>
                            <w:szCs w:val="21"/>
                          </w:rPr>
                          <w:t xml:space="preserve">○</w:t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Fix: Fitness (Jahresabo)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65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65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color w:val="1A1D22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Fix: Verpflegung auswärts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160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160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UI Symbol" w:cs="Segoe UI Symbol" w:eastAsia="Segoe UI Symbol" w:hAnsi="Segoe UI Symbol"/>
                            <w:color w:val="1A1D22"/>
                            <w:sz w:val="21"/>
                            <w:szCs w:val="21"/>
                          </w:rPr>
                          <w:t xml:space="preserve">●</w:t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Variabel: Kleider, Schuhe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120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60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UI Symbol" w:cs="Segoe UI Symbol" w:eastAsia="Segoe UI Symbol" w:hAnsi="Segoe UI Symbol"/>
                            <w:color w:val="1A1D22"/>
                            <w:sz w:val="21"/>
                            <w:szCs w:val="21"/>
                          </w:rPr>
                          <w:t xml:space="preserve">●</w:t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Variabel: Ausgang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140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60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color w:val="1A1D22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Variabel: Coiffeur, Hobby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40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40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color w:val="1A1D22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Rückstellung: Sparen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20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UI Symbol" w:cs="Segoe UI Symbol" w:eastAsia="Segoe UI Symbol" w:hAnsi="Segoe UI Symbol"/>
                            <w:color w:val="1A1D22"/>
                            <w:sz w:val="21"/>
                            <w:szCs w:val="21"/>
                          </w:rPr>
                          <w:t xml:space="preserve">○</w:t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Offene Rechnung + Mahngebühr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200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nil" w:color="FFFFFF" w:sz="0"/>
                          <w:left w:val="nil" w:color="FFFFFF" w:sz="0"/>
                          <w:bottom w:val="dotted" w:color="8B9099" w:sz="4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 w:val="false"/>
                            <w:bCs w:val="false"/>
                            <w:color w:val="1A1D22"/>
                            <w:sz w:val="21"/>
                            <w:szCs w:val="21"/>
                          </w:rPr>
                          <w:t xml:space="preserve">200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pct" w:w="6%"/>
                        <w:tcBorders>
                          <w:top w:val="single" w:color="4A5057" w:sz="6"/>
                          <w:left w:val="nil" w:color="FFFFFF" w:sz="0"/>
                          <w:bottom w:val="nil" w:color="FFFFFF" w:sz="0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color w:val="1A1D22"/>
                            <w:sz w:val="21"/>
                            <w:szCs w:val="21"/>
                          </w:rPr>
                          <w:t xml:space="preserve"/>
                        </w:r>
                      </w:p>
                    </w:tc>
                    <w:tc>
                      <w:tcPr>
                        <w:tcW w:type="pct" w:w="62%"/>
                        <w:tcBorders>
                          <w:top w:val="single" w:color="4A5057" w:sz="6"/>
                          <w:left w:val="nil" w:color="FFFFFF" w:sz="0"/>
                          <w:bottom w:val="nil" w:color="FFFFFF" w:sz="0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1A1D22"/>
                            <w:sz w:val="21"/>
                            <w:szCs w:val="21"/>
                          </w:rPr>
                          <w:t xml:space="preserve">Saldo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single" w:color="4A5057" w:sz="6"/>
                          <w:left w:val="nil" w:color="FFFFFF" w:sz="0"/>
                          <w:bottom w:val="nil" w:color="FFFFFF" w:sz="0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5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1A1D22"/>
                            <w:sz w:val="21"/>
                            <w:szCs w:val="21"/>
                          </w:rPr>
                          <w:t xml:space="preserve">−140</w:t>
                        </w:r>
                      </w:p>
                    </w:tc>
                    <w:tc>
                      <w:tcPr>
                        <w:tcW w:type="pct" w:w="16%"/>
                        <w:tcBorders>
                          <w:top w:val="single" w:color="4A5057" w:sz="6"/>
                          <w:left w:val="nil" w:color="FFFFFF" w:sz="0"/>
                          <w:bottom w:val="nil" w:color="FFFFFF" w:sz="0"/>
                          <w:right w:val="nil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</w:tcPr>
                      <w:p>
                        <w:pPr>
                          <w:spacing w:after="0" w:before="0" w:line="270" w:lineRule="exact"/>
                          <w:jc w:val="right"/>
                        </w:pPr>
                        <w:r>
                          <w:rPr>
                            <w:rFonts w:ascii="Segoe Print" w:cs="Segoe Print" w:eastAsia="Segoe Print" w:hAnsi="Segoe Print"/>
                            <w:b/>
                            <w:bCs/>
                            <w:color w:val="1A1D22"/>
                            <w:sz w:val="21"/>
                            <w:szCs w:val="21"/>
                          </w:rPr>
                          <w:t xml:space="preserve">0</w:t>
                        </w:r>
                      </w:p>
                    </w:tc>
                  </w:tr>
                </w:tbl>
                <w:p>
                  <w:pPr>
                    <w:spacing w:after="0" w:before="0" w:line="20" w:lineRule="exact"/>
                  </w:pPr>
                  <w:r>
                    <w:t xml:space="preserve"/>
                  </w:r>
                </w:p>
              </w:tc>
              <w:tc>
                <w:tcPr>
                  <w:tcW w:type="pct" w:w="27%"/>
                  <w:tcBorders>
                    <w:top w:val="nil" w:color="FFFFFF" w:sz="0"/>
                    <w:left w:val="nil" w:color="FFFFFF" w:sz="0"/>
                    <w:bottom w:val="nil" w:color="FFFFFF" w:sz="0"/>
                    <w:right w:val="nil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60"/>
                  </w:tcMar>
                </w:tcPr>
                <w:p>
                  <w:pPr>
                    <w:keepNext/>
                    <w:pBdr>
                      <w:bottom w:val="single" w:color="2471A3" w:sz="4" w:space="1"/>
                    </w:pBdr>
                    <w:spacing w:after="60" w:before="0" w:line="280" w:lineRule="exact"/>
                  </w:pPr>
                  <w:r>
                    <w:rPr>
                      <w:rFonts w:ascii="Segoe Print" w:cs="Segoe Print" w:eastAsia="Segoe Print" w:hAnsi="Segoe Print"/>
                      <w:b/>
                      <w:bCs/>
                      <w:color w:val="2471A3"/>
                      <w:sz w:val="22"/>
                      <w:szCs w:val="22"/>
                    </w:rPr>
                    <w:t xml:space="preserve">Anpassungen und Schutzregeln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Offene Rechnung diesen Monat zuerst zahlen — sonst kommt die nächste Gebühr.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Ausgang und Kleider je auf CHF 60 — variable Kosten steuere ich selbst.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Streaming sofort kündigen, Fitness auf Vertragsende — Abos summieren sich.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Regel 1: Wenn eine Rechnung kommt, zahle ich sie am Zahltag zuerst.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Regel 2: Wenn ich ein Abo abschliesse, dann nur eines, das ich monatlich kündigen kann.</w:t>
                  </w:r>
                </w:p>
              </w:tc>
              <w:tc>
                <w:tcPr>
                  <w:tcW w:type="pct" w:w="27%"/>
                  <w:tcBorders>
                    <w:top w:val="nil" w:color="FFFFFF" w:sz="0"/>
                    <w:left w:val="nil" w:color="FFFFFF" w:sz="0"/>
                    <w:bottom w:val="nil" w:color="FFFFFF" w:sz="0"/>
                    <w:right w:val="nil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keepNext/>
                    <w:pBdr>
                      <w:bottom w:val="single" w:color="2471A3" w:sz="4" w:space="1"/>
                    </w:pBdr>
                    <w:spacing w:after="60" w:before="0" w:line="280" w:lineRule="exact"/>
                  </w:pPr>
                  <w:r>
                    <w:rPr>
                      <w:rFonts w:ascii="Segoe Print" w:cs="Segoe Print" w:eastAsia="Segoe Print" w:hAnsi="Segoe Print"/>
                      <w:b/>
                      <w:bCs/>
                      <w:color w:val="2471A3"/>
                      <w:sz w:val="22"/>
                      <w:szCs w:val="22"/>
                    </w:rPr>
                    <w:t xml:space="preserve">Gesprächsnotiz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Argument 1: Mit den Anpassungen ist der Saldo 0 statt minus 140.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Argument 2: Die Rechnung ist bezahlt, bevor weitere Gebühren dazukommen.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Argument 3: CHF 60 für Ausgang bleiben — ich streiche nicht alles.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Rückfrage: «Was würdest du an meiner Stelle zuerst kürzen?»</w:t>
                  </w:r>
                </w:p>
                <w:p>
                  <w:pPr>
                    <w:spacing w:after="50" w:before="0" w:line="280" w:lineRule="exact"/>
                  </w:pPr>
                  <w:r>
                    <w:rPr>
                      <w:rFonts w:ascii="Segoe Print" w:cs="Segoe Print" w:eastAsia="Segoe Print" w:hAnsi="Segoe Print"/>
                      <w:color w:val="1A1D22"/>
                      <w:sz w:val="21"/>
                      <w:szCs w:val="21"/>
                    </w:rPr>
                    <w:t xml:space="preserve">Einwand «Dann lebst du nur noch fürs Sparen» — Antwort: «Nein, Ausgang bleibt. Und nächsten Monat ist die Rechnung weg.»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587" w:right="1134" w:bottom="907" w:left="1134" w:header="454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BEDF0" w:sz="2" w:space="3"/>
      </w:pBdr>
      <w:tabs>
        <w:tab w:val="right" w:pos="9026"/>
      </w:tabs>
    </w:pPr>
    <w:r>
      <w:rPr>
        <w:rFonts w:ascii="Consolas" w:cs="Consolas" w:eastAsia="Consolas" w:hAnsi="Consolas"/>
        <w:color w:val="8B9099"/>
        <w:sz w:val="14"/>
        <w:szCs w:val="14"/>
      </w:rPr>
      <w:t xml:space="preserve">Lösungsblatt · Mein Budget, meine Regeln, mein Budgetgespräch</w:t>
    </w:r>
    <w:r>
      <w:t xml:space="preserve">	</w:t>
    </w:r>
    <w:r>
      <w:rPr>
        <w:rFonts w:ascii="Consolas" w:cs="Consolas" w:eastAsia="Consolas" w:hAnsi="Consolas"/>
        <w:color w:val="8B9099"/>
        <w:sz w:val="14"/>
        <w:szCs w:val="14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</w:pPr>
    <w:r>
      <w:drawing>
        <wp:inline distT="0" distB="0" distL="0" distR="0">
          <wp:extent cx="1714500" cy="666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666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D8DBE0" w:sz="4" w:space="3"/>
      </w:pBdr>
      <w:tabs>
        <w:tab w:val="right" w:pos="9026"/>
      </w:tabs>
      <w:spacing w:after="100"/>
    </w:pPr>
    <w:r>
      <w:rPr>
        <w:sz w:val="16"/>
        <w:szCs w:val="16"/>
      </w:rPr>
      <w:t xml:space="preserve"/>
    </w:r>
    <w:r>
      <w:t xml:space="preserve">	</w:t>
    </w:r>
    <w:r>
      <w:rPr>
        <w:rFonts w:ascii="Consolas" w:cs="Consolas" w:eastAsia="Consolas" w:hAnsi="Consolas"/>
        <w:b/>
        <w:bCs/>
        <w:color w:val="1A1D22"/>
        <w:sz w:val="14"/>
        <w:szCs w:val="14"/>
      </w:rPr>
      <w:t xml:space="preserve">LÖSUNGSBLATT B · NUR LEHRPERSON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f645da85b3b591b0cbe92372d7a0699be5b83a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Lösungsblatt · Mein Budget, meine Regeln, mein Budgetgespräch</dc:title>
  <dc:creator>HKO Renderer</dc:creator>
  <dc:description>LÖSUNGSBLATT B · NUR LEHRPERSON</dc:description>
  <cp:lastModifiedBy>Un-named</cp:lastModifiedBy>
  <cp:revision>1</cp:revision>
  <dcterms:created xsi:type="dcterms:W3CDTF">2026-10-02T14:15:16.804Z</dcterms:created>
  <dcterms:modified xsi:type="dcterms:W3CDTF">2026-10-02T14:15:16.804Z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