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D54" w:rsidRDefault="00487D54" w:rsidP="00487D54">
      <w:pPr>
        <w:pStyle w:val="Kop1"/>
      </w:pPr>
      <w:r>
        <w:t>Geheimhoudingsovereenkomst</w:t>
      </w:r>
    </w:p>
    <w:p w:rsidR="00487D54" w:rsidRDefault="00487D54" w:rsidP="00487D54"/>
    <w:p w:rsidR="00487D54" w:rsidRDefault="00487D54" w:rsidP="00487D54">
      <w:r>
        <w:t>De ondergetekenden:</w:t>
      </w:r>
    </w:p>
    <w:p w:rsidR="00487D54" w:rsidRDefault="00487D54" w:rsidP="00487D54">
      <w:pPr>
        <w:pStyle w:val="Lijstalinea"/>
        <w:numPr>
          <w:ilvl w:val="0"/>
          <w:numId w:val="1"/>
        </w:numPr>
      </w:pPr>
      <w:r>
        <w:t xml:space="preserve">Alliander N.V., statutair gevestigd te Arnhem, aan de Utrechtseweg 68, ten deze rechtsgeldig </w:t>
      </w:r>
      <w:bookmarkStart w:id="0" w:name="_GoBack"/>
      <w:bookmarkEnd w:id="0"/>
      <w:r>
        <w:t xml:space="preserve">vertegenwoordigd door de heer </w:t>
      </w:r>
      <w:r w:rsidR="0048451D">
        <w:t>D. Schut</w:t>
      </w:r>
      <w:r>
        <w:t>, directeur, hierna te noemen: ‘Alliander’;</w:t>
      </w:r>
    </w:p>
    <w:p w:rsidR="00487D54" w:rsidRDefault="00487D54" w:rsidP="00487D54">
      <w:r>
        <w:t>En</w:t>
      </w:r>
    </w:p>
    <w:p w:rsidR="00487D54" w:rsidRDefault="00487D54" w:rsidP="00487D54">
      <w:pPr>
        <w:pStyle w:val="Lijstalinea"/>
        <w:numPr>
          <w:ilvl w:val="0"/>
          <w:numId w:val="1"/>
        </w:numPr>
      </w:pPr>
      <w:r w:rsidRPr="00487D54">
        <w:rPr>
          <w:highlight w:val="yellow"/>
        </w:rPr>
        <w:t>XXXX</w:t>
      </w:r>
      <w:r>
        <w:t xml:space="preserve">, statutair gevestigd te </w:t>
      </w:r>
      <w:r w:rsidR="0096767E" w:rsidRPr="00E62A30">
        <w:rPr>
          <w:highlight w:val="yellow"/>
        </w:rPr>
        <w:t>XXXX</w:t>
      </w:r>
      <w:r>
        <w:t>, ten deze rechtsgeldig vertegenwoordigd door de heer ……………………, hierna te noemen: ‘</w:t>
      </w:r>
      <w:r w:rsidRPr="00487D54">
        <w:rPr>
          <w:highlight w:val="yellow"/>
        </w:rPr>
        <w:t>XXXX</w:t>
      </w:r>
      <w:r>
        <w:t>’;</w:t>
      </w:r>
    </w:p>
    <w:p w:rsidR="00487D54" w:rsidRDefault="00487D54" w:rsidP="00487D54">
      <w:pPr>
        <w:ind w:left="708"/>
      </w:pPr>
      <w:r>
        <w:t>(ieder van hen een “Partij” en tezamen genoemd “Partijen”)</w:t>
      </w:r>
    </w:p>
    <w:p w:rsidR="00487D54" w:rsidRDefault="00487D54" w:rsidP="00487D54">
      <w:r>
        <w:t>In overweging nemende dat:</w:t>
      </w:r>
    </w:p>
    <w:p w:rsidR="00487D54" w:rsidRDefault="00487D54" w:rsidP="00487D54">
      <w:pPr>
        <w:pStyle w:val="Lijstalinea"/>
        <w:numPr>
          <w:ilvl w:val="0"/>
          <w:numId w:val="2"/>
        </w:numPr>
      </w:pPr>
      <w:r>
        <w:t>Partijen voor de duur en onder de voorwaarden zoals hieronder overeengekomen elkaar vertrouwelijke informatie over en weer ter beschikking z</w:t>
      </w:r>
      <w:r w:rsidR="00503E14">
        <w:t>u</w:t>
      </w:r>
      <w:r>
        <w:t>l</w:t>
      </w:r>
      <w:r w:rsidR="00503E14">
        <w:t>len</w:t>
      </w:r>
      <w:r>
        <w:t xml:space="preserve"> stellen en dat Partijen deze informatie geheim zullen houden;</w:t>
      </w:r>
    </w:p>
    <w:p w:rsidR="00487D54" w:rsidRDefault="00487D54" w:rsidP="00487D54">
      <w:pPr>
        <w:pStyle w:val="Lijstalinea"/>
        <w:numPr>
          <w:ilvl w:val="0"/>
          <w:numId w:val="2"/>
        </w:numPr>
      </w:pPr>
      <w:r>
        <w:t>Gelet op deze hoge mate van vertrouwelijkheid, naast of in aanvulling op hetgeen partijen door de wet, reglementen, (inhuur)overeenkomst en welke andere regeling dan ook met betrekking tot geheimhouding van vertrouwelijke informatie wordt opgelegd;</w:t>
      </w:r>
    </w:p>
    <w:p w:rsidR="00487D54" w:rsidRDefault="00487D54" w:rsidP="00487D54">
      <w:r>
        <w:t>Verklaren te zijn overeengekomen als volgt:</w:t>
      </w:r>
    </w:p>
    <w:p w:rsidR="00487D54" w:rsidRDefault="00487D54" w:rsidP="00487D54">
      <w:r>
        <w:t>Artikel 1.</w:t>
      </w:r>
      <w:r>
        <w:tab/>
        <w:t>Vertrouwelijke informatie</w:t>
      </w:r>
    </w:p>
    <w:p w:rsidR="00487D54" w:rsidRDefault="00487D54" w:rsidP="00487D54">
      <w:pPr>
        <w:pStyle w:val="Lijstalinea"/>
        <w:numPr>
          <w:ilvl w:val="1"/>
          <w:numId w:val="3"/>
        </w:numPr>
      </w:pPr>
      <w:r>
        <w:t>Partijen zullen geheimhouding betrachten omtrent informatie en/of documentatie die in het kader van Attack &amp; Penetratietest, hierna te noemen: ‘het Doel’, op enigerlei wijze (waaronder begrepen doch niet limitatief: schriftelijke, mondelingen en elektronische)te hunner kennis wordt gebracht of te beschikking wordt gesteld (hierna te noemen: “Vertrouwelijke Informatie”).</w:t>
      </w:r>
    </w:p>
    <w:p w:rsidR="00487D54" w:rsidRDefault="00487D54" w:rsidP="00487D54">
      <w:pPr>
        <w:pStyle w:val="Lijstalinea"/>
        <w:numPr>
          <w:ilvl w:val="1"/>
          <w:numId w:val="3"/>
        </w:numPr>
      </w:pPr>
      <w:r>
        <w:t>Partijen zullen, anders dan voor het Doel, van de Vertrouwelijke Informatie op generlei wijze gebruik maken of mededelingen daaromtrent doen aan derden of deze op enigerlei wijze beschikbaar stellen aan derden, en zal ervoor zorgdragen dat deze niet beschikbaar of toegankelijk is voor derden.</w:t>
      </w:r>
    </w:p>
    <w:p w:rsidR="00487D54" w:rsidRDefault="00487D54" w:rsidP="00487D54">
      <w:pPr>
        <w:pStyle w:val="Lijstalinea"/>
        <w:numPr>
          <w:ilvl w:val="1"/>
          <w:numId w:val="3"/>
        </w:numPr>
      </w:pPr>
      <w:r>
        <w:t>Alle Vertrouwelijke Informatie blijft het exclusieve eigendom van de respectieve partij. Aan deze Geheimhoudingsverklaring worden door geen der partijen geen rechten verleend of toegekend ten aanzien van vergunningen of rechten voortvloeiend uit octrooien, gedeponeerde ontwerpen, copyright, know-how, intellectuele eigendom, gegevens, plannen, ontwerprechten of enig ander vergelijkbaar recht toebehorend aan de respectieve partij.</w:t>
      </w:r>
    </w:p>
    <w:p w:rsidR="00487D54" w:rsidRDefault="00487D54" w:rsidP="00487D54">
      <w:pPr>
        <w:pStyle w:val="Lijstalinea"/>
        <w:numPr>
          <w:ilvl w:val="1"/>
          <w:numId w:val="3"/>
        </w:numPr>
      </w:pPr>
      <w:r>
        <w:t>Het bepaalde in dit artikel is niet van toepassing op informatie die:</w:t>
      </w:r>
    </w:p>
    <w:p w:rsidR="00487D54" w:rsidRDefault="00487D54" w:rsidP="00487D54">
      <w:pPr>
        <w:pStyle w:val="Lijstalinea"/>
        <w:numPr>
          <w:ilvl w:val="2"/>
          <w:numId w:val="3"/>
        </w:numPr>
        <w:ind w:hanging="294"/>
      </w:pPr>
      <w:r>
        <w:t>openbaar is dan wel openbaar wordt zonder onrechtmatig handelen van de ontvangende partij, of;</w:t>
      </w:r>
    </w:p>
    <w:p w:rsidR="00487D54" w:rsidRDefault="00487D54" w:rsidP="00487D54">
      <w:pPr>
        <w:pStyle w:val="Lijstalinea"/>
        <w:numPr>
          <w:ilvl w:val="2"/>
          <w:numId w:val="3"/>
        </w:numPr>
        <w:ind w:hanging="294"/>
      </w:pPr>
      <w:r>
        <w:t>aan de ontvangende partij rechtmatig door een derde beschikbaar wordt gesteld zonder verplichting tot geheimhouding, of;</w:t>
      </w:r>
    </w:p>
    <w:p w:rsidR="00487D54" w:rsidRDefault="00487D54" w:rsidP="00487D54">
      <w:pPr>
        <w:pStyle w:val="Lijstalinea"/>
        <w:numPr>
          <w:ilvl w:val="2"/>
          <w:numId w:val="3"/>
        </w:numPr>
        <w:ind w:hanging="294"/>
      </w:pPr>
      <w:r>
        <w:t>aantoonbaar reeds voor de ontvangst ervan rechtmatig in het bezit was van de ontvangende partij, of;</w:t>
      </w:r>
    </w:p>
    <w:p w:rsidR="00487D54" w:rsidRDefault="00487D54" w:rsidP="00487D54">
      <w:pPr>
        <w:pStyle w:val="Lijstalinea"/>
        <w:numPr>
          <w:ilvl w:val="2"/>
          <w:numId w:val="3"/>
        </w:numPr>
        <w:ind w:hanging="294"/>
      </w:pPr>
      <w:r>
        <w:t>in een schriftelijk document door de andere partij als niet-vertrouwelijk is bestempeld, of;</w:t>
      </w:r>
    </w:p>
    <w:p w:rsidR="00487D54" w:rsidRDefault="00487D54" w:rsidP="00487D54">
      <w:pPr>
        <w:pStyle w:val="Lijstalinea"/>
        <w:numPr>
          <w:ilvl w:val="2"/>
          <w:numId w:val="3"/>
        </w:numPr>
        <w:ind w:hanging="294"/>
      </w:pPr>
      <w:r>
        <w:t>de ontvangende partij op grond van een wettelijke verplichting publiceert of aan de desbetreffende autoriteiten kenbaar maakt.</w:t>
      </w:r>
    </w:p>
    <w:p w:rsidR="00487D54" w:rsidRDefault="00487D54" w:rsidP="00487D54">
      <w:r>
        <w:t>Artikel 2.</w:t>
      </w:r>
      <w:r>
        <w:tab/>
        <w:t>Geheimhouding</w:t>
      </w:r>
    </w:p>
    <w:p w:rsidR="00487D54" w:rsidRDefault="00487D54" w:rsidP="00487D54">
      <w:pPr>
        <w:ind w:left="426" w:hanging="426"/>
      </w:pPr>
      <w:r>
        <w:lastRenderedPageBreak/>
        <w:t>2.1</w:t>
      </w:r>
      <w:r>
        <w:tab/>
        <w:t>Partijen zullen geheimhouding betrachten omtrent het Doel, behoudens voor zover zulks krachtens enige toepasselijke wetsbepaling, voorschrift of andere regelgeving bekend wordt gemaakt.</w:t>
      </w:r>
    </w:p>
    <w:p w:rsidR="00487D54" w:rsidRDefault="00487D54" w:rsidP="00487D54">
      <w:pPr>
        <w:ind w:left="426" w:hanging="426"/>
      </w:pPr>
      <w:r>
        <w:t>2.2</w:t>
      </w:r>
      <w:r>
        <w:tab/>
        <w:t>Partijen zullen mededelingen omtrent het Doel niet in de openbaarheid brengen of anderszins aan derden bekend maken dan na uitdrukkelijke wederzijdse schriftelijke toestemming.</w:t>
      </w:r>
    </w:p>
    <w:p w:rsidR="00487D54" w:rsidRDefault="00487D54" w:rsidP="00487D54">
      <w:pPr>
        <w:ind w:left="426" w:hanging="426"/>
      </w:pPr>
      <w:r>
        <w:t>Artikel 3.</w:t>
      </w:r>
      <w:r>
        <w:tab/>
        <w:t>Vertegenwoordigers</w:t>
      </w:r>
    </w:p>
    <w:p w:rsidR="00487D54" w:rsidRDefault="00487D54" w:rsidP="00487D54">
      <w:pPr>
        <w:ind w:left="426" w:hanging="426"/>
      </w:pPr>
      <w:r>
        <w:t>3.1</w:t>
      </w:r>
      <w:r>
        <w:tab/>
        <w:t>De Geheimhoudingsverplichtingen opgenomen in de artikelen 1 en 2 (hierna te noemen: de “Geheimhoudingsverplichtingen”) gelden eveneens voor de Vertegenwoordigers van de Partijen. Onder “Vertegenwoordigers” wordt verstaan bestuurders, directeuren, medewerkers, advocaten, juridisch adviseurs, accountants, financieel adviseurs en andere tussenpersonen. Het is een Partij toegestaan om Vertrouwelijke Informatie te verstrekken aan zijn Vertegenwoordigers die deze informatie nodig hebben voor het Doel. De informatie aan verstrekkende Partij staat er voor in dat haar Vertegenwoordigers aan wie Vertrouwelijke Informatie is verstrekt, zijn gebonden aan de Geheimhoudingsverplichtingen.</w:t>
      </w:r>
    </w:p>
    <w:p w:rsidR="00487D54" w:rsidRDefault="00487D54" w:rsidP="00487D54">
      <w:pPr>
        <w:ind w:left="426" w:hanging="426"/>
      </w:pPr>
      <w:r>
        <w:t>Artikel 4.</w:t>
      </w:r>
      <w:r>
        <w:tab/>
        <w:t>Duur overeenkomst</w:t>
      </w:r>
    </w:p>
    <w:p w:rsidR="00487D54" w:rsidRDefault="00487D54" w:rsidP="00487D54">
      <w:pPr>
        <w:ind w:left="426" w:hanging="426"/>
      </w:pPr>
      <w:r>
        <w:t>4.1</w:t>
      </w:r>
      <w:r>
        <w:tab/>
        <w:t xml:space="preserve">Deze overeenkomst vangt aan op de datum van dagtekening van de overeenkomst en blijft gedurende drie (3) jaar van kracht. Deze overeenkomst is aangegaan in het kader van overleg tussen partijen en het overleg is beëindigd zonder dat er een nadere (intentie-)overeenkomst tot stand is gekomen geldt de datum van beëindiging van het overleg als einddatum van deze overeenkomst. </w:t>
      </w:r>
    </w:p>
    <w:p w:rsidR="00487D54" w:rsidRDefault="00487D54" w:rsidP="00487D54">
      <w:pPr>
        <w:ind w:left="426" w:hanging="426"/>
      </w:pPr>
      <w:r>
        <w:t>Artikel 5.</w:t>
      </w:r>
      <w:r>
        <w:tab/>
        <w:t>Beëindiging</w:t>
      </w:r>
    </w:p>
    <w:p w:rsidR="00487D54" w:rsidRDefault="00487D54" w:rsidP="00487D54">
      <w:pPr>
        <w:ind w:left="426" w:hanging="426"/>
      </w:pPr>
      <w:r>
        <w:t>5.1</w:t>
      </w:r>
      <w:r>
        <w:tab/>
        <w:t>Indien deze overeenkomst, op welke grond dan ook, wordt beëindigd, zullen de Geheimhoudingsverplichtingen voortduren voor een periode van zes maanden. Partijen zullen alle Vertrouwelijke Informatie die in het kader van het Doel door de andere Partij ter kennis is gebracht of ter beschikking is gesteld onverwijld gaan retourneren, zonder daarvan in welke vorm dan ook een kopie te behouden:</w:t>
      </w:r>
    </w:p>
    <w:p w:rsidR="00487D54" w:rsidRDefault="00487D54" w:rsidP="00487D54">
      <w:pPr>
        <w:pStyle w:val="Lijstalinea"/>
        <w:numPr>
          <w:ilvl w:val="0"/>
          <w:numId w:val="4"/>
        </w:numPr>
        <w:ind w:left="993" w:hanging="567"/>
      </w:pPr>
      <w:r>
        <w:t>op eerste verzoek; dan wel</w:t>
      </w:r>
    </w:p>
    <w:p w:rsidR="00487D54" w:rsidRDefault="00487D54" w:rsidP="00487D54">
      <w:pPr>
        <w:pStyle w:val="Lijstalinea"/>
        <w:numPr>
          <w:ilvl w:val="0"/>
          <w:numId w:val="4"/>
        </w:numPr>
        <w:ind w:left="993" w:hanging="567"/>
      </w:pPr>
      <w:r>
        <w:t>wanneer bezit van dergelijke Vertrouwelijke Informatie voor één der Partijen redelijkerwijs niet langer noodzakelijk is.</w:t>
      </w:r>
    </w:p>
    <w:p w:rsidR="00487D54" w:rsidRDefault="00487D54" w:rsidP="00487D54">
      <w:r>
        <w:t>Artikel 6.</w:t>
      </w:r>
      <w:r>
        <w:tab/>
        <w:t>Toepasselijk recht</w:t>
      </w:r>
    </w:p>
    <w:p w:rsidR="00487D54" w:rsidRDefault="00487D54" w:rsidP="00487D54">
      <w:pPr>
        <w:ind w:left="426" w:hanging="426"/>
      </w:pPr>
      <w:r>
        <w:t>6.1</w:t>
      </w:r>
      <w:r>
        <w:tab/>
        <w:t>Op deze overeenkomst is Nederlands recht van toepassing en de Arrondissementsrechtbank te Arnhem is bevoegd kennis te nemen van eventuele geschillen</w:t>
      </w:r>
    </w:p>
    <w:p w:rsidR="00487D54" w:rsidRDefault="00487D54" w:rsidP="00487D54">
      <w:r>
        <w:t>Aldus opgesteld en getekend in tweevoud,</w:t>
      </w:r>
    </w:p>
    <w:p w:rsidR="00487D54" w:rsidRDefault="00487D54" w:rsidP="00487D54">
      <w:r>
        <w:t>Te Arnhem, op ……………………………</w:t>
      </w:r>
      <w:r>
        <w:tab/>
      </w:r>
      <w:r>
        <w:tab/>
      </w:r>
      <w:r>
        <w:tab/>
      </w:r>
      <w:r>
        <w:tab/>
        <w:t xml:space="preserve">Te </w:t>
      </w:r>
      <w:r w:rsidR="0096767E" w:rsidRPr="00E62A30">
        <w:rPr>
          <w:highlight w:val="yellow"/>
        </w:rPr>
        <w:t>XXXX</w:t>
      </w:r>
      <w:r>
        <w:t>, op ……………………………</w:t>
      </w:r>
    </w:p>
    <w:p w:rsidR="0016214A" w:rsidRDefault="00487D54" w:rsidP="00487D54">
      <w:pPr>
        <w:ind w:left="426" w:hanging="426"/>
      </w:pPr>
      <w:r>
        <w:tab/>
      </w:r>
    </w:p>
    <w:sectPr w:rsidR="0016214A">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A09" w:rsidRDefault="00304A09" w:rsidP="004D1971">
      <w:pPr>
        <w:spacing w:after="0" w:line="240" w:lineRule="auto"/>
      </w:pPr>
      <w:r>
        <w:separator/>
      </w:r>
    </w:p>
  </w:endnote>
  <w:endnote w:type="continuationSeparator" w:id="0">
    <w:p w:rsidR="00304A09" w:rsidRDefault="00304A09" w:rsidP="004D1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971" w:rsidRPr="00CF6756" w:rsidRDefault="004D1971" w:rsidP="004D1971">
    <w:pPr>
      <w:pStyle w:val="Voettekst"/>
      <w:pBdr>
        <w:top w:val="thinThickSmallGap" w:sz="24" w:space="1" w:color="622423" w:themeColor="accent2" w:themeShade="7F"/>
      </w:pBdr>
      <w:rPr>
        <w:rFonts w:ascii="Arial" w:eastAsiaTheme="majorEastAsia" w:hAnsi="Arial" w:cs="Arial"/>
        <w:sz w:val="16"/>
      </w:rPr>
    </w:pPr>
    <w:r w:rsidRPr="00E925A9">
      <w:rPr>
        <w:rFonts w:ascii="Arial" w:eastAsiaTheme="majorEastAsia" w:hAnsi="Arial" w:cs="Arial"/>
        <w:sz w:val="16"/>
        <w:highlight w:val="yellow"/>
      </w:rPr>
      <w:t>XXXX</w:t>
    </w:r>
    <w:r w:rsidRPr="00CF6756">
      <w:rPr>
        <w:rFonts w:ascii="Arial" w:eastAsiaTheme="majorEastAsia" w:hAnsi="Arial" w:cs="Arial"/>
        <w:sz w:val="16"/>
      </w:rPr>
      <w:t xml:space="preserve"> – </w:t>
    </w:r>
    <w:r>
      <w:rPr>
        <w:rFonts w:ascii="Arial" w:eastAsiaTheme="majorEastAsia" w:hAnsi="Arial" w:cs="Arial"/>
        <w:sz w:val="16"/>
      </w:rPr>
      <w:t>Geheimhoud</w:t>
    </w:r>
    <w:r w:rsidRPr="00CF6756">
      <w:rPr>
        <w:rFonts w:ascii="Arial" w:eastAsiaTheme="majorEastAsia" w:hAnsi="Arial" w:cs="Arial"/>
        <w:sz w:val="16"/>
      </w:rPr>
      <w:t>ings</w:t>
    </w:r>
    <w:r>
      <w:rPr>
        <w:rFonts w:ascii="Arial" w:eastAsiaTheme="majorEastAsia" w:hAnsi="Arial" w:cs="Arial"/>
        <w:sz w:val="16"/>
      </w:rPr>
      <w:t>overeenkomst</w:t>
    </w:r>
    <w:r>
      <w:rPr>
        <w:rFonts w:ascii="Arial" w:eastAsiaTheme="majorEastAsia" w:hAnsi="Arial" w:cs="Arial"/>
        <w:sz w:val="16"/>
      </w:rPr>
      <w:tab/>
    </w:r>
    <w:r w:rsidRPr="00CF6756">
      <w:rPr>
        <w:rFonts w:ascii="Arial" w:eastAsiaTheme="majorEastAsia" w:hAnsi="Arial" w:cs="Arial"/>
        <w:sz w:val="16"/>
      </w:rPr>
      <w:tab/>
      <w:t xml:space="preserve">Pagina </w:t>
    </w:r>
    <w:r w:rsidRPr="00CF6756">
      <w:rPr>
        <w:rFonts w:ascii="Arial" w:eastAsiaTheme="majorEastAsia" w:hAnsi="Arial" w:cs="Arial"/>
        <w:b/>
        <w:sz w:val="16"/>
      </w:rPr>
      <w:fldChar w:fldCharType="begin"/>
    </w:r>
    <w:r w:rsidRPr="00CF6756">
      <w:rPr>
        <w:rFonts w:ascii="Arial" w:eastAsiaTheme="majorEastAsia" w:hAnsi="Arial" w:cs="Arial"/>
        <w:b/>
        <w:sz w:val="16"/>
      </w:rPr>
      <w:instrText>PAGE  \* Arabic  \* MERGEFORMAT</w:instrText>
    </w:r>
    <w:r w:rsidRPr="00CF6756">
      <w:rPr>
        <w:rFonts w:ascii="Arial" w:eastAsiaTheme="majorEastAsia" w:hAnsi="Arial" w:cs="Arial"/>
        <w:b/>
        <w:sz w:val="16"/>
      </w:rPr>
      <w:fldChar w:fldCharType="separate"/>
    </w:r>
    <w:r w:rsidR="0048451D">
      <w:rPr>
        <w:rFonts w:ascii="Arial" w:eastAsiaTheme="majorEastAsia" w:hAnsi="Arial" w:cs="Arial"/>
        <w:b/>
        <w:noProof/>
        <w:sz w:val="16"/>
      </w:rPr>
      <w:t>1</w:t>
    </w:r>
    <w:r w:rsidRPr="00CF6756">
      <w:rPr>
        <w:rFonts w:ascii="Arial" w:eastAsiaTheme="majorEastAsia" w:hAnsi="Arial" w:cs="Arial"/>
        <w:b/>
        <w:sz w:val="16"/>
      </w:rPr>
      <w:fldChar w:fldCharType="end"/>
    </w:r>
    <w:r w:rsidRPr="00CF6756">
      <w:rPr>
        <w:rFonts w:ascii="Arial" w:eastAsiaTheme="majorEastAsia" w:hAnsi="Arial" w:cs="Arial"/>
        <w:sz w:val="16"/>
      </w:rPr>
      <w:t xml:space="preserve"> van </w:t>
    </w:r>
    <w:r w:rsidRPr="00CF6756">
      <w:rPr>
        <w:rFonts w:ascii="Arial" w:eastAsiaTheme="majorEastAsia" w:hAnsi="Arial" w:cs="Arial"/>
        <w:b/>
        <w:sz w:val="16"/>
      </w:rPr>
      <w:fldChar w:fldCharType="begin"/>
    </w:r>
    <w:r w:rsidRPr="00CF6756">
      <w:rPr>
        <w:rFonts w:ascii="Arial" w:eastAsiaTheme="majorEastAsia" w:hAnsi="Arial" w:cs="Arial"/>
        <w:b/>
        <w:sz w:val="16"/>
      </w:rPr>
      <w:instrText>NUMPAGES  \* Arabic  \* MERGEFORMAT</w:instrText>
    </w:r>
    <w:r w:rsidRPr="00CF6756">
      <w:rPr>
        <w:rFonts w:ascii="Arial" w:eastAsiaTheme="majorEastAsia" w:hAnsi="Arial" w:cs="Arial"/>
        <w:b/>
        <w:sz w:val="16"/>
      </w:rPr>
      <w:fldChar w:fldCharType="separate"/>
    </w:r>
    <w:r w:rsidR="0048451D">
      <w:rPr>
        <w:rFonts w:ascii="Arial" w:eastAsiaTheme="majorEastAsia" w:hAnsi="Arial" w:cs="Arial"/>
        <w:b/>
        <w:noProof/>
        <w:sz w:val="16"/>
      </w:rPr>
      <w:t>2</w:t>
    </w:r>
    <w:r w:rsidRPr="00CF6756">
      <w:rPr>
        <w:rFonts w:ascii="Arial" w:eastAsiaTheme="majorEastAsia" w:hAnsi="Arial" w:cs="Arial"/>
        <w:b/>
        <w:sz w:val="16"/>
      </w:rPr>
      <w:fldChar w:fldCharType="end"/>
    </w:r>
    <w:r w:rsidRPr="00CF6756">
      <w:rPr>
        <w:rFonts w:ascii="Arial" w:eastAsiaTheme="majorEastAsia" w:hAnsi="Arial" w:cs="Arial"/>
        <w:sz w:val="16"/>
      </w:rPr>
      <w:tab/>
    </w:r>
  </w:p>
  <w:p w:rsidR="004D1971" w:rsidRDefault="004D1971">
    <w:pPr>
      <w:pStyle w:val="Voettekst"/>
    </w:pPr>
  </w:p>
  <w:p w:rsidR="004D1971" w:rsidRDefault="004D197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A09" w:rsidRDefault="00304A09" w:rsidP="004D1971">
      <w:pPr>
        <w:spacing w:after="0" w:line="240" w:lineRule="auto"/>
      </w:pPr>
      <w:r>
        <w:separator/>
      </w:r>
    </w:p>
  </w:footnote>
  <w:footnote w:type="continuationSeparator" w:id="0">
    <w:p w:rsidR="00304A09" w:rsidRDefault="00304A09" w:rsidP="004D1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66D29"/>
    <w:multiLevelType w:val="hybridMultilevel"/>
    <w:tmpl w:val="15DE5FA2"/>
    <w:lvl w:ilvl="0" w:tplc="04130019">
      <w:start w:val="1"/>
      <w:numFmt w:val="lowerLetter"/>
      <w:lvlText w:val="%1."/>
      <w:lvlJc w:val="lef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1" w15:restartNumberingAfterBreak="0">
    <w:nsid w:val="253E786F"/>
    <w:multiLevelType w:val="hybridMultilevel"/>
    <w:tmpl w:val="3A8ECF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5CB3B2C"/>
    <w:multiLevelType w:val="hybridMultilevel"/>
    <w:tmpl w:val="A3B4A6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6F035EC"/>
    <w:multiLevelType w:val="multilevel"/>
    <w:tmpl w:val="D64A8F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D54"/>
    <w:rsid w:val="000A75B5"/>
    <w:rsid w:val="0016214A"/>
    <w:rsid w:val="00304A09"/>
    <w:rsid w:val="00307E62"/>
    <w:rsid w:val="0048451D"/>
    <w:rsid w:val="00487D54"/>
    <w:rsid w:val="004D1971"/>
    <w:rsid w:val="00503E14"/>
    <w:rsid w:val="00574E35"/>
    <w:rsid w:val="0096767E"/>
    <w:rsid w:val="00E62A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14DC6"/>
  <w15:docId w15:val="{EE593383-9203-4E55-AEB3-C2525D280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87D54"/>
    <w:rPr>
      <w:sz w:val="20"/>
    </w:rPr>
  </w:style>
  <w:style w:type="paragraph" w:styleId="Kop1">
    <w:name w:val="heading 1"/>
    <w:basedOn w:val="Standaard"/>
    <w:next w:val="Standaard"/>
    <w:link w:val="Kop1Char"/>
    <w:uiPriority w:val="9"/>
    <w:qFormat/>
    <w:rsid w:val="00487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87D54"/>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487D54"/>
    <w:pPr>
      <w:ind w:left="720"/>
      <w:contextualSpacing/>
    </w:pPr>
  </w:style>
  <w:style w:type="paragraph" w:styleId="Koptekst">
    <w:name w:val="header"/>
    <w:basedOn w:val="Standaard"/>
    <w:link w:val="KoptekstChar"/>
    <w:uiPriority w:val="99"/>
    <w:unhideWhenUsed/>
    <w:rsid w:val="004D197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D1971"/>
    <w:rPr>
      <w:sz w:val="20"/>
    </w:rPr>
  </w:style>
  <w:style w:type="paragraph" w:styleId="Voettekst">
    <w:name w:val="footer"/>
    <w:basedOn w:val="Standaard"/>
    <w:link w:val="VoettekstChar"/>
    <w:uiPriority w:val="99"/>
    <w:unhideWhenUsed/>
    <w:rsid w:val="004D197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D1971"/>
    <w:rPr>
      <w:sz w:val="20"/>
    </w:rPr>
  </w:style>
  <w:style w:type="paragraph" w:styleId="Ballontekst">
    <w:name w:val="Balloon Text"/>
    <w:basedOn w:val="Standaard"/>
    <w:link w:val="BallontekstChar"/>
    <w:uiPriority w:val="99"/>
    <w:semiHidden/>
    <w:unhideWhenUsed/>
    <w:rsid w:val="004D197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1971"/>
    <w:rPr>
      <w:rFonts w:ascii="Tahoma" w:hAnsi="Tahoma" w:cs="Tahoma"/>
      <w:sz w:val="16"/>
      <w:szCs w:val="16"/>
    </w:rPr>
  </w:style>
  <w:style w:type="character" w:styleId="Verwijzingopmerking">
    <w:name w:val="annotation reference"/>
    <w:basedOn w:val="Standaardalinea-lettertype"/>
    <w:uiPriority w:val="99"/>
    <w:semiHidden/>
    <w:unhideWhenUsed/>
    <w:rsid w:val="000A75B5"/>
    <w:rPr>
      <w:sz w:val="16"/>
      <w:szCs w:val="16"/>
    </w:rPr>
  </w:style>
  <w:style w:type="paragraph" w:styleId="Tekstopmerking">
    <w:name w:val="annotation text"/>
    <w:basedOn w:val="Standaard"/>
    <w:link w:val="TekstopmerkingChar"/>
    <w:uiPriority w:val="99"/>
    <w:semiHidden/>
    <w:unhideWhenUsed/>
    <w:rsid w:val="000A75B5"/>
    <w:pPr>
      <w:spacing w:line="240" w:lineRule="auto"/>
    </w:pPr>
    <w:rPr>
      <w:szCs w:val="20"/>
    </w:rPr>
  </w:style>
  <w:style w:type="character" w:customStyle="1" w:styleId="TekstopmerkingChar">
    <w:name w:val="Tekst opmerking Char"/>
    <w:basedOn w:val="Standaardalinea-lettertype"/>
    <w:link w:val="Tekstopmerking"/>
    <w:uiPriority w:val="99"/>
    <w:semiHidden/>
    <w:rsid w:val="000A75B5"/>
    <w:rPr>
      <w:sz w:val="20"/>
      <w:szCs w:val="20"/>
    </w:rPr>
  </w:style>
  <w:style w:type="paragraph" w:styleId="Onderwerpvanopmerking">
    <w:name w:val="annotation subject"/>
    <w:basedOn w:val="Tekstopmerking"/>
    <w:next w:val="Tekstopmerking"/>
    <w:link w:val="OnderwerpvanopmerkingChar"/>
    <w:uiPriority w:val="99"/>
    <w:semiHidden/>
    <w:unhideWhenUsed/>
    <w:rsid w:val="000A75B5"/>
    <w:rPr>
      <w:b/>
      <w:bCs/>
    </w:rPr>
  </w:style>
  <w:style w:type="character" w:customStyle="1" w:styleId="OnderwerpvanopmerkingChar">
    <w:name w:val="Onderwerp van opmerking Char"/>
    <w:basedOn w:val="TekstopmerkingChar"/>
    <w:link w:val="Onderwerpvanopmerking"/>
    <w:uiPriority w:val="99"/>
    <w:semiHidden/>
    <w:rsid w:val="000A75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FB4F9-FBDB-4462-B45D-E8E65C96E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776</Words>
  <Characters>4274</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Alliander</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Lute, Frank</dc:creator>
  <cp:lastModifiedBy>Otterloo, Bert van</cp:lastModifiedBy>
  <cp:revision>5</cp:revision>
  <dcterms:created xsi:type="dcterms:W3CDTF">2016-04-06T05:52:00Z</dcterms:created>
  <dcterms:modified xsi:type="dcterms:W3CDTF">2019-07-18T12:32:00Z</dcterms:modified>
</cp:coreProperties>
</file>