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3728" w14:textId="1E8C9CD0" w:rsidR="007106E8" w:rsidRDefault="007106E8">
      <w:pPr>
        <w:rPr>
          <w:rFonts w:ascii="Times New Roman" w:hAnsi="Times New Roman" w:cs="Times New Roman"/>
          <w:sz w:val="24"/>
          <w:szCs w:val="24"/>
        </w:rPr>
      </w:pPr>
      <w:r w:rsidRPr="007106E8">
        <w:rPr>
          <w:rFonts w:ascii="Times New Roman" w:hAnsi="Times New Roman" w:cs="Times New Roman"/>
          <w:sz w:val="24"/>
          <w:szCs w:val="24"/>
        </w:rPr>
        <w:t>Austin Wen</w:t>
      </w:r>
    </w:p>
    <w:p w14:paraId="1368A2A5" w14:textId="64C09C37" w:rsidR="007106E8" w:rsidRDefault="007106E8" w:rsidP="0071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6E8">
        <w:rPr>
          <w:rFonts w:ascii="Times New Roman" w:hAnsi="Times New Roman" w:cs="Times New Roman"/>
          <w:sz w:val="24"/>
          <w:szCs w:val="24"/>
        </w:rPr>
        <w:t>Excel Homework</w:t>
      </w:r>
    </w:p>
    <w:p w14:paraId="4C35E7C9" w14:textId="74C5A1E5" w:rsidR="007C15B5" w:rsidRPr="007C15B5" w:rsidRDefault="007C15B5" w:rsidP="007C1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03/15/2020</w:t>
      </w:r>
    </w:p>
    <w:p w14:paraId="31CD9F9D" w14:textId="20C128A9" w:rsidR="007106E8" w:rsidRDefault="007106E8" w:rsidP="007106E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419B89" w14:textId="569ECEB9" w:rsidR="007106E8" w:rsidRDefault="007106E8" w:rsidP="00C42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2B23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56D6E4B" w14:textId="77777777" w:rsidR="00A741ED" w:rsidRDefault="00A741ED" w:rsidP="00A741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3797A" w14:textId="7C0E67E9" w:rsidR="00A741ED" w:rsidRDefault="00A741ED" w:rsidP="00A741ED">
      <w:pPr>
        <w:rPr>
          <w:rFonts w:ascii="Times New Roman" w:hAnsi="Times New Roman" w:cs="Times New Roman"/>
          <w:sz w:val="24"/>
          <w:szCs w:val="24"/>
        </w:rPr>
      </w:pPr>
      <w:r w:rsidRPr="00234B68">
        <w:rPr>
          <w:rFonts w:ascii="Times New Roman" w:hAnsi="Times New Roman" w:cs="Times New Roman"/>
          <w:b/>
          <w:bCs/>
          <w:sz w:val="24"/>
          <w:szCs w:val="24"/>
        </w:rPr>
        <w:t>Conclusion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234B68">
        <w:rPr>
          <w:rFonts w:ascii="Times New Roman" w:hAnsi="Times New Roman" w:cs="Times New Roman"/>
          <w:sz w:val="24"/>
          <w:szCs w:val="24"/>
        </w:rPr>
        <w:t xml:space="preserve"> Theater was the most popular category from this sample dataset, and journalism was the least popular category.</w:t>
      </w:r>
    </w:p>
    <w:p w14:paraId="4FB541FD" w14:textId="3E7A64CB" w:rsidR="00234B68" w:rsidRDefault="00234B68" w:rsidP="00A741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9B8F6" wp14:editId="2FA9F8E9">
            <wp:extent cx="5943600" cy="3927475"/>
            <wp:effectExtent l="0" t="0" r="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131064-0EA4-48B7-838A-5B59F8007F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799DDB" w14:textId="0EFB5E57" w:rsidR="00234B68" w:rsidRDefault="00234B68" w:rsidP="00A741ED">
      <w:pPr>
        <w:rPr>
          <w:rFonts w:ascii="Times New Roman" w:hAnsi="Times New Roman" w:cs="Times New Roman"/>
          <w:sz w:val="24"/>
          <w:szCs w:val="24"/>
        </w:rPr>
      </w:pPr>
    </w:p>
    <w:p w14:paraId="5C5EF54A" w14:textId="41F4EEE0" w:rsidR="001517DA" w:rsidRDefault="001517DA" w:rsidP="00A741ED">
      <w:pPr>
        <w:rPr>
          <w:rFonts w:ascii="Times New Roman" w:hAnsi="Times New Roman" w:cs="Times New Roman"/>
          <w:sz w:val="24"/>
          <w:szCs w:val="24"/>
        </w:rPr>
      </w:pPr>
    </w:p>
    <w:p w14:paraId="6C7CDCCA" w14:textId="0D2F3449" w:rsidR="001517DA" w:rsidRDefault="001517DA" w:rsidP="00A741ED">
      <w:pPr>
        <w:rPr>
          <w:rFonts w:ascii="Times New Roman" w:hAnsi="Times New Roman" w:cs="Times New Roman"/>
          <w:sz w:val="24"/>
          <w:szCs w:val="24"/>
        </w:rPr>
      </w:pPr>
    </w:p>
    <w:p w14:paraId="66F59495" w14:textId="7651FD94" w:rsidR="001517DA" w:rsidRDefault="001517DA" w:rsidP="00A741ED">
      <w:pPr>
        <w:rPr>
          <w:rFonts w:ascii="Times New Roman" w:hAnsi="Times New Roman" w:cs="Times New Roman"/>
          <w:sz w:val="24"/>
          <w:szCs w:val="24"/>
        </w:rPr>
      </w:pPr>
    </w:p>
    <w:p w14:paraId="427A14B8" w14:textId="6079BDB8" w:rsidR="001517DA" w:rsidRDefault="001517DA" w:rsidP="00A741ED">
      <w:pPr>
        <w:rPr>
          <w:rFonts w:ascii="Times New Roman" w:hAnsi="Times New Roman" w:cs="Times New Roman"/>
          <w:sz w:val="24"/>
          <w:szCs w:val="24"/>
        </w:rPr>
      </w:pPr>
    </w:p>
    <w:p w14:paraId="397024BE" w14:textId="77777777" w:rsidR="001517DA" w:rsidRDefault="001517DA" w:rsidP="00A741ED">
      <w:pPr>
        <w:rPr>
          <w:rFonts w:ascii="Times New Roman" w:hAnsi="Times New Roman" w:cs="Times New Roman"/>
          <w:sz w:val="24"/>
          <w:szCs w:val="24"/>
        </w:rPr>
      </w:pPr>
    </w:p>
    <w:p w14:paraId="3333831E" w14:textId="06218A6A" w:rsidR="00234B68" w:rsidRDefault="00234B68" w:rsidP="00A741ED">
      <w:pPr>
        <w:rPr>
          <w:rFonts w:ascii="Times New Roman" w:hAnsi="Times New Roman" w:cs="Times New Roman"/>
          <w:sz w:val="24"/>
          <w:szCs w:val="24"/>
        </w:rPr>
      </w:pPr>
      <w:r w:rsidRPr="00234B6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2</w:t>
      </w:r>
      <w:r>
        <w:rPr>
          <w:rFonts w:ascii="Times New Roman" w:hAnsi="Times New Roman" w:cs="Times New Roman"/>
          <w:sz w:val="24"/>
          <w:szCs w:val="24"/>
        </w:rPr>
        <w:t>: On average, the projects had 58.8% success rate</w:t>
      </w:r>
      <w:r w:rsidR="001517D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. But the success rate</w:t>
      </w:r>
      <w:r w:rsidR="00151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varied from year to year.</w:t>
      </w:r>
      <w:r w:rsidR="001517DA">
        <w:rPr>
          <w:rFonts w:ascii="Times New Roman" w:hAnsi="Times New Roman" w:cs="Times New Roman"/>
          <w:sz w:val="24"/>
          <w:szCs w:val="24"/>
        </w:rPr>
        <w:t xml:space="preserve"> Year 2011 had the highest success rate at 83%, and 2015 had the lowest success rate at 52%.</w:t>
      </w:r>
    </w:p>
    <w:tbl>
      <w:tblPr>
        <w:tblW w:w="8616" w:type="dxa"/>
        <w:jc w:val="center"/>
        <w:tblLook w:val="04A0" w:firstRow="1" w:lastRow="0" w:firstColumn="1" w:lastColumn="0" w:noHBand="0" w:noVBand="1"/>
      </w:tblPr>
      <w:tblGrid>
        <w:gridCol w:w="2264"/>
        <w:gridCol w:w="1714"/>
        <w:gridCol w:w="1221"/>
        <w:gridCol w:w="1251"/>
        <w:gridCol w:w="2166"/>
      </w:tblGrid>
      <w:tr w:rsidR="001517DA" w:rsidRPr="001517DA" w14:paraId="42396DCD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0A0CB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Year\State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5449E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63612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50DC1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8E4F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Success Rate</w:t>
            </w:r>
          </w:p>
        </w:tc>
      </w:tr>
      <w:tr w:rsidR="001517DA" w:rsidRPr="001517DA" w14:paraId="38E65CA9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62A0A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78FEF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9968C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140B7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14:paraId="694C8DBC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69%</w:t>
            </w:r>
          </w:p>
        </w:tc>
      </w:tr>
      <w:tr w:rsidR="001517DA" w:rsidRPr="001517DA" w14:paraId="73792804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D806E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4EF48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C3F40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34688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D17F"/>
            <w:noWrap/>
            <w:vAlign w:val="bottom"/>
            <w:hideMark/>
          </w:tcPr>
          <w:p w14:paraId="49559670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77%</w:t>
            </w:r>
          </w:p>
        </w:tc>
      </w:tr>
      <w:tr w:rsidR="001517DA" w:rsidRPr="001517DA" w14:paraId="7894A39C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1FC9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D1F15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E6A42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F2299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9AEF908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83%</w:t>
            </w:r>
          </w:p>
        </w:tc>
      </w:tr>
      <w:tr w:rsidR="001517DA" w:rsidRPr="001517DA" w14:paraId="1930E866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939A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C6591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157CB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20B11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C7E"/>
            <w:noWrap/>
            <w:vAlign w:val="bottom"/>
            <w:hideMark/>
          </w:tcPr>
          <w:p w14:paraId="065F82FD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78%</w:t>
            </w:r>
          </w:p>
        </w:tc>
      </w:tr>
      <w:tr w:rsidR="001517DA" w:rsidRPr="001517DA" w14:paraId="3E6DE3FA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4549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EA5CA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AE691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BF449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680"/>
            <w:noWrap/>
            <w:vAlign w:val="bottom"/>
            <w:hideMark/>
          </w:tcPr>
          <w:p w14:paraId="48B7636B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75%</w:t>
            </w:r>
          </w:p>
        </w:tc>
      </w:tr>
      <w:tr w:rsidR="001517DA" w:rsidRPr="001517DA" w14:paraId="75606A11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BB13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885CA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197F0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E87E8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896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16C"/>
            <w:noWrap/>
            <w:vAlign w:val="bottom"/>
            <w:hideMark/>
          </w:tcPr>
          <w:p w14:paraId="4360D88D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53%</w:t>
            </w:r>
          </w:p>
        </w:tc>
      </w:tr>
      <w:tr w:rsidR="001517DA" w:rsidRPr="001517DA" w14:paraId="6292E102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0E02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011B5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42253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58E42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1094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7AF7E73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52%</w:t>
            </w:r>
          </w:p>
        </w:tc>
      </w:tr>
      <w:tr w:rsidR="001517DA" w:rsidRPr="001517DA" w14:paraId="3D86E5CC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04C2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6A0F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F8449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2BF43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851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38C01F8B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56%</w:t>
            </w:r>
          </w:p>
        </w:tc>
      </w:tr>
      <w:tr w:rsidR="001517DA" w:rsidRPr="001517DA" w14:paraId="349AF1CE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95D4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2D43D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4E320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A40F5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B81"/>
            <w:noWrap/>
            <w:vAlign w:val="bottom"/>
            <w:hideMark/>
          </w:tcPr>
          <w:p w14:paraId="2BBAB412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66%</w:t>
            </w:r>
          </w:p>
        </w:tc>
      </w:tr>
      <w:tr w:rsidR="001517DA" w:rsidRPr="001517DA" w14:paraId="7178FE8A" w14:textId="77777777" w:rsidTr="00C6242B">
        <w:trPr>
          <w:trHeight w:val="425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2874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Project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C1F4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959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90FA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3715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376"/>
            <w:noWrap/>
            <w:vAlign w:val="bottom"/>
            <w:hideMark/>
          </w:tcPr>
          <w:p w14:paraId="3BDB91E6" w14:textId="77777777" w:rsidR="001517DA" w:rsidRPr="001517DA" w:rsidRDefault="001517DA" w:rsidP="00151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59%</w:t>
            </w:r>
          </w:p>
        </w:tc>
      </w:tr>
    </w:tbl>
    <w:p w14:paraId="4FC7C180" w14:textId="77777777" w:rsidR="001517DA" w:rsidRDefault="001517DA" w:rsidP="0015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562B3" w14:textId="493CF5CB" w:rsidR="001517DA" w:rsidRDefault="001517DA" w:rsidP="001517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E5712" wp14:editId="5D1369D0">
            <wp:extent cx="4572000" cy="2720181"/>
            <wp:effectExtent l="0" t="0" r="0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F9F115C-2895-40E6-A33D-75A67B302B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1166619" w14:textId="77777777" w:rsidR="001517DA" w:rsidRDefault="001517DA" w:rsidP="00A741ED">
      <w:pPr>
        <w:rPr>
          <w:rFonts w:ascii="Times New Roman" w:hAnsi="Times New Roman" w:cs="Times New Roman"/>
          <w:sz w:val="24"/>
          <w:szCs w:val="24"/>
        </w:rPr>
      </w:pPr>
    </w:p>
    <w:p w14:paraId="48A0C0C5" w14:textId="19D50D23" w:rsidR="00234B68" w:rsidRDefault="001517DA" w:rsidP="00234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234B68">
        <w:rPr>
          <w:rFonts w:ascii="Times New Roman" w:hAnsi="Times New Roman" w:cs="Times New Roman"/>
          <w:sz w:val="24"/>
          <w:szCs w:val="24"/>
        </w:rPr>
        <w:t>We defined the success rate as total number of successful projects divided by the sum of total number of successful and failed projects.</w:t>
      </w:r>
    </w:p>
    <w:p w14:paraId="3294C39E" w14:textId="4D71E91F" w:rsidR="00A741ED" w:rsidRDefault="00A741ED" w:rsidP="00A741ED">
      <w:pPr>
        <w:rPr>
          <w:rFonts w:ascii="Times New Roman" w:hAnsi="Times New Roman" w:cs="Times New Roman"/>
          <w:sz w:val="24"/>
          <w:szCs w:val="24"/>
        </w:rPr>
      </w:pPr>
    </w:p>
    <w:p w14:paraId="26092A19" w14:textId="77777777" w:rsidR="00234B68" w:rsidRPr="00A741ED" w:rsidRDefault="00234B68" w:rsidP="00A741ED">
      <w:pPr>
        <w:rPr>
          <w:rFonts w:ascii="Times New Roman" w:hAnsi="Times New Roman" w:cs="Times New Roman"/>
          <w:sz w:val="24"/>
          <w:szCs w:val="24"/>
        </w:rPr>
      </w:pPr>
    </w:p>
    <w:p w14:paraId="658F160D" w14:textId="78BCF6C6" w:rsidR="008E292B" w:rsidRDefault="00411B70" w:rsidP="00411B70">
      <w:pPr>
        <w:rPr>
          <w:rFonts w:ascii="Times New Roman" w:hAnsi="Times New Roman" w:cs="Times New Roman"/>
          <w:sz w:val="24"/>
          <w:szCs w:val="24"/>
        </w:rPr>
      </w:pPr>
      <w:r w:rsidRPr="00411B7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 </w:t>
      </w:r>
      <w:r w:rsidR="00A741E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Kickstarter projects </w:t>
      </w:r>
      <w:r w:rsidR="0089701E">
        <w:rPr>
          <w:rFonts w:ascii="Times New Roman" w:hAnsi="Times New Roman" w:cs="Times New Roman"/>
          <w:sz w:val="24"/>
          <w:szCs w:val="24"/>
        </w:rPr>
        <w:t>with the Staff Pick designation had</w:t>
      </w:r>
      <w:r>
        <w:rPr>
          <w:rFonts w:ascii="Times New Roman" w:hAnsi="Times New Roman" w:cs="Times New Roman"/>
          <w:sz w:val="24"/>
          <w:szCs w:val="24"/>
        </w:rPr>
        <w:t xml:space="preserve"> higher </w:t>
      </w:r>
      <w:r w:rsidR="00B67819">
        <w:rPr>
          <w:rFonts w:ascii="Times New Roman" w:hAnsi="Times New Roman" w:cs="Times New Roman"/>
          <w:sz w:val="24"/>
          <w:szCs w:val="24"/>
        </w:rPr>
        <w:t>success rate</w:t>
      </w:r>
      <w:r w:rsidR="00B67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  <w:r w:rsidR="0089701E">
        <w:rPr>
          <w:rFonts w:ascii="Times New Roman" w:hAnsi="Times New Roman" w:cs="Times New Roman"/>
          <w:sz w:val="24"/>
          <w:szCs w:val="24"/>
        </w:rPr>
        <w:t xml:space="preserve">the projects without </w:t>
      </w:r>
      <w:r w:rsidR="0089701E" w:rsidRPr="0089701E">
        <w:rPr>
          <w:rFonts w:ascii="Times New Roman" w:hAnsi="Times New Roman" w:cs="Times New Roman"/>
          <w:sz w:val="24"/>
          <w:szCs w:val="24"/>
        </w:rPr>
        <w:t>the Staff Pick designation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5E6E87" w14:textId="2FA553F1" w:rsidR="002636CB" w:rsidRDefault="002636CB" w:rsidP="00411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Table 1 below, it shows that projects with the Staff Pick designation (True) had 88% </w:t>
      </w:r>
      <w:r w:rsidR="00B67819">
        <w:rPr>
          <w:rFonts w:ascii="Times New Roman" w:hAnsi="Times New Roman" w:cs="Times New Roman"/>
          <w:sz w:val="24"/>
          <w:szCs w:val="24"/>
        </w:rPr>
        <w:t>success rate</w:t>
      </w:r>
      <w:r>
        <w:rPr>
          <w:rFonts w:ascii="Times New Roman" w:hAnsi="Times New Roman" w:cs="Times New Roman"/>
          <w:sz w:val="24"/>
          <w:szCs w:val="24"/>
        </w:rPr>
        <w:t xml:space="preserve">, comparing to 54% </w:t>
      </w:r>
      <w:r w:rsidR="00B67819">
        <w:rPr>
          <w:rFonts w:ascii="Times New Roman" w:hAnsi="Times New Roman" w:cs="Times New Roman"/>
          <w:sz w:val="24"/>
          <w:szCs w:val="24"/>
        </w:rPr>
        <w:t>success rate</w:t>
      </w:r>
      <w:r>
        <w:rPr>
          <w:rFonts w:ascii="Times New Roman" w:hAnsi="Times New Roman" w:cs="Times New Roman"/>
          <w:sz w:val="24"/>
          <w:szCs w:val="24"/>
        </w:rPr>
        <w:t xml:space="preserve"> for those projects without </w:t>
      </w:r>
      <w:r>
        <w:rPr>
          <w:rFonts w:ascii="Times New Roman" w:hAnsi="Times New Roman" w:cs="Times New Roman"/>
          <w:sz w:val="24"/>
          <w:szCs w:val="24"/>
        </w:rPr>
        <w:t>the Staff Pick designation</w:t>
      </w:r>
      <w:r>
        <w:rPr>
          <w:rFonts w:ascii="Times New Roman" w:hAnsi="Times New Roman" w:cs="Times New Roman"/>
          <w:sz w:val="24"/>
          <w:szCs w:val="24"/>
        </w:rPr>
        <w:t xml:space="preserve"> (False).</w:t>
      </w:r>
    </w:p>
    <w:p w14:paraId="6DC5BF8B" w14:textId="53999DD7" w:rsidR="002636CB" w:rsidRPr="004D67B9" w:rsidRDefault="002636CB" w:rsidP="002636C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7B9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1</w:t>
      </w:r>
    </w:p>
    <w:tbl>
      <w:tblPr>
        <w:tblW w:w="916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2097"/>
        <w:gridCol w:w="1654"/>
        <w:gridCol w:w="1459"/>
        <w:gridCol w:w="1390"/>
      </w:tblGrid>
      <w:tr w:rsidR="008E292B" w14:paraId="7A218395" w14:textId="77777777" w:rsidTr="00A36FDF">
        <w:trPr>
          <w:trHeight w:val="372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3FA03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Pick/State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B41C6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70600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DE2E7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67489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Success Rate</w:t>
            </w:r>
          </w:p>
        </w:tc>
      </w:tr>
      <w:tr w:rsidR="008E292B" w14:paraId="1E7677A0" w14:textId="77777777" w:rsidTr="00A36FDF">
        <w:trPr>
          <w:trHeight w:val="372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1E6D5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17563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1221D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6B9DB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4E232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88%</w:t>
            </w:r>
          </w:p>
        </w:tc>
      </w:tr>
      <w:tr w:rsidR="008E292B" w14:paraId="77A405BE" w14:textId="77777777" w:rsidTr="00A36FDF">
        <w:trPr>
          <w:trHeight w:val="372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7F856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5ED276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BCBCD3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4E130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3163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5FD611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54%</w:t>
            </w:r>
          </w:p>
        </w:tc>
      </w:tr>
      <w:tr w:rsidR="00A36FDF" w14:paraId="5A14153B" w14:textId="77777777" w:rsidTr="00A36FDF">
        <w:trPr>
          <w:trHeight w:val="372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7D335F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28BA92" w14:textId="28BDF10B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2185</w:t>
            </w:r>
            <w:r w:rsidR="001517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8A64EF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1530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EDBE5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3715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6CD6F" w14:textId="77777777" w:rsidR="008E292B" w:rsidRPr="00A85E04" w:rsidRDefault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E292B" w14:paraId="1F28C1DA" w14:textId="77777777" w:rsidTr="00A36FDF">
        <w:trPr>
          <w:trHeight w:val="372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6D5BCB" w14:textId="260F2DEE" w:rsidR="008E292B" w:rsidRPr="00A85E04" w:rsidRDefault="008E292B" w:rsidP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Overall Average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67333D" w14:textId="2F61D6DC" w:rsidR="008E292B" w:rsidRPr="00A85E04" w:rsidRDefault="008E292B" w:rsidP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58.8%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25A9B7" w14:textId="577C6FC4" w:rsidR="008E292B" w:rsidRPr="00A85E04" w:rsidRDefault="008E292B" w:rsidP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41.2%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ECA362" w14:textId="5BD894BC" w:rsidR="008E292B" w:rsidRPr="00A85E04" w:rsidRDefault="008E292B" w:rsidP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44882B" w14:textId="1ECEC4AB" w:rsidR="008E292B" w:rsidRPr="00A85E04" w:rsidRDefault="008E292B" w:rsidP="008E29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5E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154B5EF" w14:textId="50AAA80D" w:rsidR="00411B70" w:rsidRDefault="00411B70" w:rsidP="008E29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EEDFF1" w14:textId="63F861D7" w:rsidR="0089701E" w:rsidRDefault="00D41D9C" w:rsidP="00D41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performed the Chi-square test of homogeneity to check whether the difference in success rate is statistically significant </w:t>
      </w:r>
      <w:r w:rsidR="00A36FDF">
        <w:rPr>
          <w:rFonts w:ascii="Times New Roman" w:hAnsi="Times New Roman" w:cs="Times New Roman"/>
          <w:sz w:val="24"/>
          <w:szCs w:val="24"/>
        </w:rPr>
        <w:t>at 5%</w:t>
      </w:r>
      <w:r>
        <w:rPr>
          <w:rFonts w:ascii="Times New Roman" w:hAnsi="Times New Roman" w:cs="Times New Roman"/>
          <w:sz w:val="24"/>
          <w:szCs w:val="24"/>
        </w:rPr>
        <w:t>.</w:t>
      </w:r>
      <w:r w:rsidR="0089701E">
        <w:rPr>
          <w:rFonts w:ascii="Times New Roman" w:hAnsi="Times New Roman" w:cs="Times New Roman"/>
          <w:sz w:val="24"/>
          <w:szCs w:val="24"/>
        </w:rPr>
        <w:t xml:space="preserve"> Our h</w:t>
      </w:r>
      <w:r w:rsidR="0089701E" w:rsidRPr="0089701E">
        <w:rPr>
          <w:rFonts w:ascii="Times New Roman" w:hAnsi="Times New Roman" w:cs="Times New Roman"/>
          <w:sz w:val="24"/>
          <w:szCs w:val="24"/>
        </w:rPr>
        <w:t>ypotheses</w:t>
      </w:r>
      <w:r w:rsidR="0089701E">
        <w:rPr>
          <w:rFonts w:ascii="Times New Roman" w:hAnsi="Times New Roman" w:cs="Times New Roman"/>
          <w:sz w:val="24"/>
          <w:szCs w:val="24"/>
        </w:rPr>
        <w:t xml:space="preserve"> are as follow:</w:t>
      </w:r>
    </w:p>
    <w:p w14:paraId="0511E12B" w14:textId="6322FE88" w:rsidR="0089701E" w:rsidRPr="0089701E" w:rsidRDefault="0089701E" w:rsidP="0089701E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89701E">
        <w:rPr>
          <w:rFonts w:ascii="Times New Roman" w:hAnsi="Times New Roman" w:cs="Times New Roman"/>
          <w:i/>
          <w:iCs/>
          <w:sz w:val="24"/>
          <w:szCs w:val="24"/>
        </w:rPr>
        <w:t xml:space="preserve">Ho: Equal success rate with or without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89701E">
        <w:rPr>
          <w:rFonts w:ascii="Times New Roman" w:hAnsi="Times New Roman" w:cs="Times New Roman"/>
          <w:i/>
          <w:iCs/>
          <w:sz w:val="24"/>
          <w:szCs w:val="24"/>
        </w:rPr>
        <w:t xml:space="preserve">taff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9701E">
        <w:rPr>
          <w:rFonts w:ascii="Times New Roman" w:hAnsi="Times New Roman" w:cs="Times New Roman"/>
          <w:i/>
          <w:iCs/>
          <w:sz w:val="24"/>
          <w:szCs w:val="24"/>
        </w:rPr>
        <w:t>ick designation.</w:t>
      </w:r>
    </w:p>
    <w:p w14:paraId="550524BE" w14:textId="6084FE1A" w:rsidR="00D41D9C" w:rsidRPr="0089701E" w:rsidRDefault="0089701E" w:rsidP="0089701E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8970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89701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9701E">
        <w:rPr>
          <w:rFonts w:ascii="Times New Roman" w:hAnsi="Times New Roman" w:cs="Times New Roman"/>
          <w:i/>
          <w:iCs/>
          <w:sz w:val="24"/>
          <w:szCs w:val="24"/>
        </w:rPr>
        <w:t xml:space="preserve">: Not equal success rate between </w:t>
      </w:r>
      <w:r w:rsidR="004D67B9">
        <w:rPr>
          <w:rFonts w:ascii="Times New Roman" w:hAnsi="Times New Roman" w:cs="Times New Roman"/>
          <w:i/>
          <w:iCs/>
          <w:sz w:val="24"/>
          <w:szCs w:val="24"/>
        </w:rPr>
        <w:t>the S</w:t>
      </w:r>
      <w:r w:rsidR="004D67B9" w:rsidRPr="0089701E">
        <w:rPr>
          <w:rFonts w:ascii="Times New Roman" w:hAnsi="Times New Roman" w:cs="Times New Roman"/>
          <w:i/>
          <w:iCs/>
          <w:sz w:val="24"/>
          <w:szCs w:val="24"/>
        </w:rPr>
        <w:t xml:space="preserve">taff </w:t>
      </w:r>
      <w:r w:rsidR="004D67B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D67B9" w:rsidRPr="0089701E">
        <w:rPr>
          <w:rFonts w:ascii="Times New Roman" w:hAnsi="Times New Roman" w:cs="Times New Roman"/>
          <w:i/>
          <w:iCs/>
          <w:sz w:val="24"/>
          <w:szCs w:val="24"/>
        </w:rPr>
        <w:t xml:space="preserve">ick </w:t>
      </w:r>
      <w:r w:rsidRPr="0089701E">
        <w:rPr>
          <w:rFonts w:ascii="Times New Roman" w:hAnsi="Times New Roman" w:cs="Times New Roman"/>
          <w:i/>
          <w:iCs/>
          <w:sz w:val="24"/>
          <w:szCs w:val="24"/>
        </w:rPr>
        <w:t xml:space="preserve">projects </w:t>
      </w:r>
      <w:r w:rsidR="004D67B9">
        <w:rPr>
          <w:rFonts w:ascii="Times New Roman" w:hAnsi="Times New Roman" w:cs="Times New Roman"/>
          <w:i/>
          <w:iCs/>
          <w:sz w:val="24"/>
          <w:szCs w:val="24"/>
        </w:rPr>
        <w:t xml:space="preserve">and those </w:t>
      </w:r>
      <w:r w:rsidRPr="0089701E">
        <w:rPr>
          <w:rFonts w:ascii="Times New Roman" w:hAnsi="Times New Roman" w:cs="Times New Roman"/>
          <w:i/>
          <w:iCs/>
          <w:sz w:val="24"/>
          <w:szCs w:val="24"/>
        </w:rPr>
        <w:t>projects without.</w:t>
      </w:r>
    </w:p>
    <w:p w14:paraId="3EBF48A9" w14:textId="5941D5F1" w:rsidR="00C42B23" w:rsidRDefault="00AF41E8" w:rsidP="00C4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two groups</w:t>
      </w:r>
      <w:r w:rsidR="00870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have the same </w:t>
      </w:r>
      <w:r w:rsidR="004D67B9">
        <w:rPr>
          <w:rFonts w:ascii="Times New Roman" w:hAnsi="Times New Roman" w:cs="Times New Roman"/>
          <w:sz w:val="24"/>
          <w:szCs w:val="24"/>
        </w:rPr>
        <w:t>expected success rate</w:t>
      </w:r>
      <w:r w:rsidR="00281CD5">
        <w:rPr>
          <w:rFonts w:ascii="Times New Roman" w:hAnsi="Times New Roman" w:cs="Times New Roman"/>
          <w:sz w:val="24"/>
          <w:szCs w:val="24"/>
        </w:rPr>
        <w:t xml:space="preserve"> as overall average</w:t>
      </w:r>
      <w:r w:rsidR="004D67B9">
        <w:rPr>
          <w:rFonts w:ascii="Times New Roman" w:hAnsi="Times New Roman" w:cs="Times New Roman"/>
          <w:sz w:val="24"/>
          <w:szCs w:val="24"/>
        </w:rPr>
        <w:t>. The expected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E04">
        <w:rPr>
          <w:rFonts w:ascii="Times New Roman" w:hAnsi="Times New Roman" w:cs="Times New Roman"/>
          <w:sz w:val="24"/>
          <w:szCs w:val="24"/>
        </w:rPr>
        <w:t>number</w:t>
      </w:r>
      <w:r w:rsidR="00F02F93">
        <w:rPr>
          <w:rFonts w:ascii="Times New Roman" w:hAnsi="Times New Roman" w:cs="Times New Roman"/>
          <w:sz w:val="24"/>
          <w:szCs w:val="24"/>
        </w:rPr>
        <w:t xml:space="preserve">s </w:t>
      </w:r>
      <w:r w:rsidR="00A85E04">
        <w:rPr>
          <w:rFonts w:ascii="Times New Roman" w:hAnsi="Times New Roman" w:cs="Times New Roman"/>
          <w:sz w:val="24"/>
          <w:szCs w:val="24"/>
        </w:rPr>
        <w:t xml:space="preserve">of success and fail </w:t>
      </w:r>
      <w:r w:rsidR="008708BC">
        <w:rPr>
          <w:rFonts w:ascii="Times New Roman" w:hAnsi="Times New Roman" w:cs="Times New Roman"/>
          <w:sz w:val="24"/>
          <w:szCs w:val="24"/>
        </w:rPr>
        <w:t>are shown in Table 2.</w:t>
      </w:r>
      <w:r w:rsidR="00F02F93">
        <w:rPr>
          <w:rFonts w:ascii="Times New Roman" w:hAnsi="Times New Roman" w:cs="Times New Roman"/>
          <w:sz w:val="24"/>
          <w:szCs w:val="24"/>
        </w:rPr>
        <w:t xml:space="preserve"> And the Chi-Square calculation is shown in Table 3.</w:t>
      </w:r>
    </w:p>
    <w:p w14:paraId="7F6F206A" w14:textId="746FF61F" w:rsidR="00A85E04" w:rsidRPr="00A85E04" w:rsidRDefault="00A85E04" w:rsidP="00A85E0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5E04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2</w:t>
      </w:r>
    </w:p>
    <w:tbl>
      <w:tblPr>
        <w:tblW w:w="76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1886"/>
        <w:gridCol w:w="1548"/>
        <w:gridCol w:w="1354"/>
      </w:tblGrid>
      <w:tr w:rsidR="00A36FDF" w14:paraId="4C2F8374" w14:textId="77777777" w:rsidTr="00A36FDF">
        <w:trPr>
          <w:trHeight w:val="326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6435C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Expected Value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2ED12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Pick/State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DC4C7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2B5B8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Failed</w:t>
            </w:r>
          </w:p>
        </w:tc>
      </w:tr>
      <w:tr w:rsidR="00A36FDF" w14:paraId="60D45862" w14:textId="77777777" w:rsidTr="00A36FDF">
        <w:trPr>
          <w:trHeight w:val="3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2D97F" w14:textId="77777777" w:rsidR="00A36FDF" w:rsidRPr="00F02F93" w:rsidRDefault="00A36F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ECD9B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27F70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FB424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227.34</w:t>
            </w:r>
          </w:p>
        </w:tc>
      </w:tr>
      <w:tr w:rsidR="00A36FDF" w14:paraId="1CDA9DD7" w14:textId="77777777" w:rsidTr="00A36FDF">
        <w:trPr>
          <w:trHeight w:val="3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F9FF0" w14:textId="77777777" w:rsidR="00A36FDF" w:rsidRPr="00F02F93" w:rsidRDefault="00A36F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78917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2F518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18D56" w14:textId="77777777" w:rsidR="00A36FDF" w:rsidRPr="00F02F93" w:rsidRDefault="00A36F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1302.66</w:t>
            </w:r>
          </w:p>
        </w:tc>
      </w:tr>
    </w:tbl>
    <w:p w14:paraId="2BDA995A" w14:textId="77777777" w:rsidR="00424230" w:rsidRDefault="00424230" w:rsidP="00F02F9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2B4B79" w14:textId="55835ED9" w:rsidR="00A85E04" w:rsidRPr="00F02F93" w:rsidRDefault="00F02F93" w:rsidP="00F02F9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2F93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3</w:t>
      </w:r>
    </w:p>
    <w:tbl>
      <w:tblPr>
        <w:tblW w:w="7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1980"/>
        <w:gridCol w:w="1440"/>
        <w:gridCol w:w="1350"/>
      </w:tblGrid>
      <w:tr w:rsidR="00F02F93" w14:paraId="7B9B9AB9" w14:textId="77777777" w:rsidTr="00A36FDF">
        <w:trPr>
          <w:trHeight w:val="308"/>
        </w:trPr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B000C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Chi-Square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DAF1D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Pick/State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3D4CF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7EAE8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Failed</w:t>
            </w:r>
          </w:p>
        </w:tc>
      </w:tr>
      <w:tr w:rsidR="00F02F93" w14:paraId="73EDC4D8" w14:textId="77777777" w:rsidTr="00A36FDF">
        <w:trPr>
          <w:trHeight w:val="308"/>
        </w:trPr>
        <w:tc>
          <w:tcPr>
            <w:tcW w:w="2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BA03F" w14:textId="77777777" w:rsidR="00F02F93" w:rsidRPr="00F02F93" w:rsidRDefault="00F02F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F603C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BC559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EC239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114.50</w:t>
            </w:r>
          </w:p>
        </w:tc>
      </w:tr>
      <w:tr w:rsidR="00F02F93" w14:paraId="317837A7" w14:textId="77777777" w:rsidTr="00A36FDF">
        <w:trPr>
          <w:trHeight w:val="308"/>
        </w:trPr>
        <w:tc>
          <w:tcPr>
            <w:tcW w:w="2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7EE5" w14:textId="77777777" w:rsidR="00F02F93" w:rsidRPr="00F02F93" w:rsidRDefault="00F02F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01C45F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75EA9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572D78" w14:textId="77777777" w:rsidR="00F02F93" w:rsidRPr="00F02F93" w:rsidRDefault="00F02F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2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19.98</w:t>
            </w:r>
          </w:p>
        </w:tc>
      </w:tr>
    </w:tbl>
    <w:p w14:paraId="5B38BDB9" w14:textId="5AF7B638" w:rsidR="00F02F93" w:rsidRDefault="00F02F93" w:rsidP="00F02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8E817" w14:textId="2916E77E" w:rsidR="00A741ED" w:rsidRDefault="00A36FDF" w:rsidP="00A3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Chi-Square is 228.65 with a degree of freedom of 1. This yields a p-value </w:t>
      </w:r>
      <w:r w:rsidR="00210A06">
        <w:rPr>
          <w:rFonts w:ascii="Times New Roman" w:hAnsi="Times New Roman" w:cs="Times New Roman"/>
          <w:sz w:val="24"/>
          <w:szCs w:val="24"/>
        </w:rPr>
        <w:t xml:space="preserve">less than 0.1%; therefore, we can reject the Ho hypothesis. </w:t>
      </w:r>
      <w:r w:rsidR="00210A06" w:rsidRPr="00210A06">
        <w:rPr>
          <w:rFonts w:ascii="Times New Roman" w:hAnsi="Times New Roman" w:cs="Times New Roman"/>
          <w:sz w:val="24"/>
          <w:szCs w:val="24"/>
        </w:rPr>
        <w:t>It is statistically significant in success rate difference between projects with staff pick designation and projects without</w:t>
      </w:r>
    </w:p>
    <w:p w14:paraId="06F7BE49" w14:textId="5668E7B5" w:rsidR="00C42B23" w:rsidRDefault="00C42B23" w:rsidP="00C42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2B23">
        <w:rPr>
          <w:rFonts w:ascii="Times New Roman" w:hAnsi="Times New Roman" w:cs="Times New Roman"/>
          <w:sz w:val="24"/>
          <w:szCs w:val="24"/>
        </w:rPr>
        <w:lastRenderedPageBreak/>
        <w:t>What are some limitations of this dataset?</w:t>
      </w:r>
    </w:p>
    <w:p w14:paraId="0C310544" w14:textId="5527E03D" w:rsidR="00C42B23" w:rsidRDefault="00C42B23" w:rsidP="00C42B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2724D" w14:textId="1CB9354E" w:rsidR="0056544A" w:rsidRDefault="0056544A" w:rsidP="00C42B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I noticed this sample </w:t>
      </w:r>
      <w:r w:rsidR="003970A0">
        <w:rPr>
          <w:rFonts w:ascii="Times New Roman" w:hAnsi="Times New Roman" w:cs="Times New Roman"/>
          <w:sz w:val="24"/>
          <w:szCs w:val="24"/>
        </w:rPr>
        <w:t>dataset includes goal and pledged amounts in</w:t>
      </w:r>
      <w:r>
        <w:rPr>
          <w:rFonts w:ascii="Times New Roman" w:hAnsi="Times New Roman" w:cs="Times New Roman"/>
          <w:sz w:val="24"/>
          <w:szCs w:val="24"/>
        </w:rPr>
        <w:t xml:space="preserve"> 13 different currencies</w:t>
      </w:r>
      <w:r w:rsidR="00606958">
        <w:rPr>
          <w:rFonts w:ascii="Times New Roman" w:hAnsi="Times New Roman" w:cs="Times New Roman"/>
          <w:sz w:val="24"/>
          <w:szCs w:val="24"/>
        </w:rPr>
        <w:t xml:space="preserve">, and we do not have any foreign exchange rate data available. </w:t>
      </w:r>
      <w:r w:rsidR="003970A0">
        <w:rPr>
          <w:rFonts w:ascii="Times New Roman" w:hAnsi="Times New Roman" w:cs="Times New Roman"/>
          <w:sz w:val="24"/>
          <w:szCs w:val="24"/>
        </w:rPr>
        <w:t>Without properly convert the goal and pledge amounts to a base currency, comparison between projects or categories would be misleading.</w:t>
      </w:r>
    </w:p>
    <w:p w14:paraId="6BFE5A13" w14:textId="17D27B73" w:rsidR="00455E18" w:rsidRDefault="00455E18" w:rsidP="00C42B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697AA" w14:textId="22A00B4F" w:rsidR="00455E18" w:rsidRDefault="00455E18" w:rsidP="00C42B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</w:t>
      </w:r>
      <w:r w:rsidR="00606958">
        <w:rPr>
          <w:rFonts w:ascii="Times New Roman" w:hAnsi="Times New Roman" w:cs="Times New Roman"/>
          <w:sz w:val="24"/>
          <w:szCs w:val="24"/>
        </w:rPr>
        <w:t xml:space="preserve">we were not provided with any </w:t>
      </w:r>
      <w:r w:rsidR="004132F0">
        <w:rPr>
          <w:rFonts w:ascii="Times New Roman" w:hAnsi="Times New Roman" w:cs="Times New Roman"/>
          <w:sz w:val="24"/>
          <w:szCs w:val="24"/>
        </w:rPr>
        <w:t xml:space="preserve">detailed </w:t>
      </w:r>
      <w:r w:rsidR="00606958">
        <w:rPr>
          <w:rFonts w:ascii="Times New Roman" w:hAnsi="Times New Roman" w:cs="Times New Roman"/>
          <w:sz w:val="24"/>
          <w:szCs w:val="24"/>
        </w:rPr>
        <w:t xml:space="preserve">definition what each column stood for. For example, I noticed all successful projects’ “spotlight” column were TRUE, but </w:t>
      </w:r>
      <w:r w:rsidR="008F7732">
        <w:rPr>
          <w:rFonts w:ascii="Times New Roman" w:hAnsi="Times New Roman" w:cs="Times New Roman"/>
          <w:sz w:val="24"/>
          <w:szCs w:val="24"/>
        </w:rPr>
        <w:t xml:space="preserve">I </w:t>
      </w:r>
      <w:r w:rsidR="004132F0">
        <w:rPr>
          <w:rFonts w:ascii="Times New Roman" w:hAnsi="Times New Roman" w:cs="Times New Roman"/>
          <w:sz w:val="24"/>
          <w:szCs w:val="24"/>
        </w:rPr>
        <w:t>do</w:t>
      </w:r>
      <w:r w:rsidR="008F7732">
        <w:rPr>
          <w:rFonts w:ascii="Times New Roman" w:hAnsi="Times New Roman" w:cs="Times New Roman"/>
          <w:sz w:val="24"/>
          <w:szCs w:val="24"/>
        </w:rPr>
        <w:t xml:space="preserve"> not know </w:t>
      </w:r>
      <w:r w:rsidR="004132F0">
        <w:rPr>
          <w:rFonts w:ascii="Times New Roman" w:hAnsi="Times New Roman" w:cs="Times New Roman"/>
          <w:sz w:val="24"/>
          <w:szCs w:val="24"/>
        </w:rPr>
        <w:t>the causation</w:t>
      </w:r>
      <w:r w:rsidR="00606958">
        <w:rPr>
          <w:rFonts w:ascii="Times New Roman" w:hAnsi="Times New Roman" w:cs="Times New Roman"/>
          <w:sz w:val="24"/>
          <w:szCs w:val="24"/>
        </w:rPr>
        <w:t xml:space="preserve"> between column “state” and column “spotlight”.</w:t>
      </w:r>
      <w:r w:rsidR="004132F0">
        <w:rPr>
          <w:rFonts w:ascii="Times New Roman" w:hAnsi="Times New Roman" w:cs="Times New Roman"/>
          <w:sz w:val="24"/>
          <w:szCs w:val="24"/>
        </w:rPr>
        <w:t xml:space="preserve"> Similarly, having the “staff pick” designation did correlate with higher success rate, but it is impossible to conclude the “staff pick” designation caused the project to succeed.</w:t>
      </w:r>
    </w:p>
    <w:p w14:paraId="068E0DA6" w14:textId="77777777" w:rsidR="00C42B23" w:rsidRPr="00C42B23" w:rsidRDefault="00C42B23" w:rsidP="00C42B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DE904" w14:textId="01EEA4AB" w:rsidR="00C42B23" w:rsidRDefault="00C42B23" w:rsidP="00C42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2B23">
        <w:rPr>
          <w:rFonts w:ascii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B2FF622" w14:textId="77777777" w:rsidR="00E274B5" w:rsidRDefault="00E274B5" w:rsidP="00E274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66DCA" w14:textId="2F6D07BC" w:rsidR="00E274B5" w:rsidRDefault="00E274B5" w:rsidP="00E274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 by Category</w:t>
      </w:r>
      <w:r w:rsidR="008409C9">
        <w:rPr>
          <w:rFonts w:ascii="Times New Roman" w:hAnsi="Times New Roman" w:cs="Times New Roman"/>
          <w:sz w:val="24"/>
          <w:szCs w:val="24"/>
        </w:rPr>
        <w:t xml:space="preserve"> Bar Chart</w:t>
      </w:r>
    </w:p>
    <w:p w14:paraId="136A262E" w14:textId="127495E8" w:rsidR="00E274B5" w:rsidRPr="00E274B5" w:rsidRDefault="00E274B5" w:rsidP="00E274B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7B130" wp14:editId="454531FD">
            <wp:extent cx="4574381" cy="2700338"/>
            <wp:effectExtent l="0" t="0" r="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FD5D0C-A2B8-4224-8B2B-9BAA2924C0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E8A4B8" w14:textId="3F538169" w:rsidR="00E274B5" w:rsidRDefault="008409C9" w:rsidP="00E274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of State by Years with Category filter Pivot Table and Chart</w:t>
      </w:r>
    </w:p>
    <w:p w14:paraId="0ADE41DA" w14:textId="01986128" w:rsidR="008409C9" w:rsidRDefault="008409C9" w:rsidP="008409C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825B2" wp14:editId="6B41EF55">
            <wp:extent cx="4603704" cy="1771650"/>
            <wp:effectExtent l="0" t="0" r="698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8DC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426" cy="17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DDFF" w14:textId="45F342F7" w:rsidR="008409C9" w:rsidRPr="008409C9" w:rsidRDefault="008409C9" w:rsidP="008409C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5CE8F5" wp14:editId="2DDA0A97">
            <wp:extent cx="4648200" cy="2827732"/>
            <wp:effectExtent l="0" t="0" r="0" b="0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F836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4" cy="28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8F11" w14:textId="7E7269F0" w:rsidR="008409C9" w:rsidRDefault="00E321DD" w:rsidP="00E274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projects per country and per year</w:t>
      </w:r>
    </w:p>
    <w:p w14:paraId="0413961C" w14:textId="06571E1E" w:rsidR="00E321DD" w:rsidRDefault="00E321DD" w:rsidP="00E321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2B172D" w14:textId="42E2F200" w:rsidR="00E321DD" w:rsidRPr="00C42B23" w:rsidRDefault="00E321DD" w:rsidP="00E321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AB23C" wp14:editId="2C09BE41">
            <wp:extent cx="4311872" cy="3124361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F810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1DD" w:rsidRPr="00C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4115"/>
    <w:multiLevelType w:val="hybridMultilevel"/>
    <w:tmpl w:val="B596ADA6"/>
    <w:lvl w:ilvl="0" w:tplc="C62AC5B2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678E1"/>
    <w:multiLevelType w:val="hybridMultilevel"/>
    <w:tmpl w:val="C33E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1"/>
    <w:rsid w:val="000F6A63"/>
    <w:rsid w:val="001517DA"/>
    <w:rsid w:val="00210A06"/>
    <w:rsid w:val="00234B68"/>
    <w:rsid w:val="002636CB"/>
    <w:rsid w:val="00281CD5"/>
    <w:rsid w:val="003970A0"/>
    <w:rsid w:val="003D0645"/>
    <w:rsid w:val="00411B70"/>
    <w:rsid w:val="004132F0"/>
    <w:rsid w:val="00424230"/>
    <w:rsid w:val="00455E18"/>
    <w:rsid w:val="004D67B9"/>
    <w:rsid w:val="0056544A"/>
    <w:rsid w:val="00606958"/>
    <w:rsid w:val="007106E8"/>
    <w:rsid w:val="007C15B5"/>
    <w:rsid w:val="008409C9"/>
    <w:rsid w:val="008708BC"/>
    <w:rsid w:val="0089701E"/>
    <w:rsid w:val="008E292B"/>
    <w:rsid w:val="008F7732"/>
    <w:rsid w:val="00A36FDF"/>
    <w:rsid w:val="00A741ED"/>
    <w:rsid w:val="00A85E04"/>
    <w:rsid w:val="00AF41E8"/>
    <w:rsid w:val="00B67819"/>
    <w:rsid w:val="00C054F1"/>
    <w:rsid w:val="00C42B23"/>
    <w:rsid w:val="00C6242B"/>
    <w:rsid w:val="00CE4668"/>
    <w:rsid w:val="00D41D9C"/>
    <w:rsid w:val="00E274B5"/>
    <w:rsid w:val="00E321DD"/>
    <w:rsid w:val="00F0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B20A"/>
  <w15:chartTrackingRefBased/>
  <w15:docId w15:val="{6D40DBFC-E2D2-4C45-B3A2-AA72C27F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06E8"/>
  </w:style>
  <w:style w:type="character" w:customStyle="1" w:styleId="DateChar">
    <w:name w:val="Date Char"/>
    <w:basedOn w:val="DefaultParagraphFont"/>
    <w:link w:val="Date"/>
    <w:uiPriority w:val="99"/>
    <w:semiHidden/>
    <w:rsid w:val="007106E8"/>
  </w:style>
  <w:style w:type="paragraph" w:styleId="ListParagraph">
    <w:name w:val="List Paragraph"/>
    <w:basedOn w:val="Normal"/>
    <w:uiPriority w:val="34"/>
    <w:qFormat/>
    <w:rsid w:val="007106E8"/>
    <w:pPr>
      <w:ind w:left="720"/>
      <w:contextualSpacing/>
    </w:pPr>
  </w:style>
  <w:style w:type="table" w:styleId="TableGrid">
    <w:name w:val="Table Grid"/>
    <w:basedOn w:val="TableNormal"/>
    <w:uiPriority w:val="39"/>
    <w:rsid w:val="0041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stinWen\Documents\GitHub\AW_Homework\01-Excel\Homework\StarterBook%20-%20A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stinWen\Documents\GitHub\AW_Homework\01-Excel\Homework\StarterBook%20-%20A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stinWen\Documents\GitHub\AW_Homework\01-Excel\Homework\StarterBook%20-%20A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</a:t>
            </a:r>
            <a:r>
              <a:rPr lang="en-US" baseline="0"/>
              <a:t> Project Categories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E87-4E84-97E6-5AC2FFE30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E87-4E84-97E6-5AC2FFE30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E87-4E84-97E6-5AC2FFE30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E87-4E84-97E6-5AC2FFE30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E87-4E84-97E6-5AC2FFE30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E87-4E84-97E6-5AC2FFE3036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E87-4E84-97E6-5AC2FFE3036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3E87-4E84-97E6-5AC2FFE3036F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3E87-4E84-97E6-5AC2FFE303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Conclusions!$V$161:$V$169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Conclusions!$AB$161:$AB$169</c:f>
              <c:numCache>
                <c:formatCode>0.00%</c:formatCode>
                <c:ptCount val="9"/>
                <c:pt idx="0">
                  <c:v>0.12639766650461837</c:v>
                </c:pt>
                <c:pt idx="1">
                  <c:v>4.8614487117160911E-2</c:v>
                </c:pt>
                <c:pt idx="2">
                  <c:v>5.3475935828877004E-2</c:v>
                </c:pt>
                <c:pt idx="3">
                  <c:v>5.8337384540593099E-3</c:v>
                </c:pt>
                <c:pt idx="4">
                  <c:v>0.17015070491006321</c:v>
                </c:pt>
                <c:pt idx="5">
                  <c:v>5.3475935828877004E-2</c:v>
                </c:pt>
                <c:pt idx="6">
                  <c:v>5.7608167233835682E-2</c:v>
                </c:pt>
                <c:pt idx="7">
                  <c:v>0.14584346135148274</c:v>
                </c:pt>
                <c:pt idx="8">
                  <c:v>0.33859990277102575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3E87-4E84-97E6-5AC2FFE3036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2"/>
                </a:solidFill>
              </a:rPr>
              <a:t>Success Rate by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Conclusions!$T$99</c:f>
              <c:strCache>
                <c:ptCount val="1"/>
                <c:pt idx="0">
                  <c:v>Success Rate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Conclusions!$P$100:$P$108</c:f>
              <c:numCache>
                <c:formatCode>General</c:formatCod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numCache>
            </c:numRef>
          </c:xVal>
          <c:yVal>
            <c:numRef>
              <c:f>Conclusions!$T$100:$T$108</c:f>
              <c:numCache>
                <c:formatCode>0%</c:formatCode>
                <c:ptCount val="9"/>
                <c:pt idx="0">
                  <c:v>0.69230769230769229</c:v>
                </c:pt>
                <c:pt idx="1">
                  <c:v>0.765625</c:v>
                </c:pt>
                <c:pt idx="2">
                  <c:v>0.82926829268292679</c:v>
                </c:pt>
                <c:pt idx="3">
                  <c:v>0.78260869565217395</c:v>
                </c:pt>
                <c:pt idx="4">
                  <c:v>0.74906367041198507</c:v>
                </c:pt>
                <c:pt idx="5">
                  <c:v>0.5290178571428571</c:v>
                </c:pt>
                <c:pt idx="6">
                  <c:v>0.51828153564899448</c:v>
                </c:pt>
                <c:pt idx="7">
                  <c:v>0.55816686251468861</c:v>
                </c:pt>
                <c:pt idx="8">
                  <c:v>0.65555555555555556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BB-4E0A-8640-08F1A7D4BE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9766048"/>
        <c:axId val="1069707904"/>
      </c:scatterChart>
      <c:valAx>
        <c:axId val="106976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9707904"/>
        <c:crosses val="autoZero"/>
        <c:crossBetween val="midCat"/>
      </c:valAx>
      <c:valAx>
        <c:axId val="106970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9766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Success Rate by</a:t>
            </a:r>
            <a:r>
              <a:rPr lang="en-US" baseline="0"/>
              <a:t>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Conclusions!$M$47</c:f>
              <c:strCache>
                <c:ptCount val="1"/>
                <c:pt idx="0">
                  <c:v>Success Rate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Conclusions!$I$48:$I$56</c:f>
              <c:strCache>
                <c:ptCount val="9"/>
                <c:pt idx="0">
                  <c:v>film &amp; video</c:v>
                </c:pt>
                <c:pt idx="1">
                  <c:v>theater</c:v>
                </c:pt>
                <c:pt idx="2">
                  <c:v>technology</c:v>
                </c:pt>
                <c:pt idx="3">
                  <c:v>publishing</c:v>
                </c:pt>
                <c:pt idx="4">
                  <c:v>music</c:v>
                </c:pt>
                <c:pt idx="5">
                  <c:v>journalism</c:v>
                </c:pt>
                <c:pt idx="6">
                  <c:v>games</c:v>
                </c:pt>
                <c:pt idx="7">
                  <c:v>food</c:v>
                </c:pt>
                <c:pt idx="8">
                  <c:v>photography</c:v>
                </c:pt>
              </c:strCache>
            </c:strRef>
          </c:cat>
          <c:val>
            <c:numRef>
              <c:f>Conclusions!$M$48:$M$56</c:f>
              <c:numCache>
                <c:formatCode>0%</c:formatCode>
                <c:ptCount val="9"/>
                <c:pt idx="0">
                  <c:v>0.625</c:v>
                </c:pt>
                <c:pt idx="1">
                  <c:v>0.62987987987987992</c:v>
                </c:pt>
                <c:pt idx="2">
                  <c:v>0.49526066350710901</c:v>
                </c:pt>
                <c:pt idx="3">
                  <c:v>0.38647342995169082</c:v>
                </c:pt>
                <c:pt idx="4">
                  <c:v>0.81818181818181823</c:v>
                </c:pt>
                <c:pt idx="6">
                  <c:v>0.36363636363636365</c:v>
                </c:pt>
                <c:pt idx="7">
                  <c:v>0.19540229885057472</c:v>
                </c:pt>
                <c:pt idx="8">
                  <c:v>0.4681818181818182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59-416F-9430-271CF8515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34185616"/>
        <c:axId val="669610576"/>
      </c:barChart>
      <c:catAx>
        <c:axId val="123418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610576"/>
        <c:crosses val="autoZero"/>
        <c:auto val="1"/>
        <c:lblAlgn val="ctr"/>
        <c:lblOffset val="100"/>
        <c:noMultiLvlLbl val="0"/>
      </c:catAx>
      <c:valAx>
        <c:axId val="66961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18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Wen</dc:creator>
  <cp:keywords/>
  <dc:description/>
  <cp:lastModifiedBy>Austin Wen</cp:lastModifiedBy>
  <cp:revision>23</cp:revision>
  <dcterms:created xsi:type="dcterms:W3CDTF">2020-03-15T19:07:00Z</dcterms:created>
  <dcterms:modified xsi:type="dcterms:W3CDTF">2020-03-15T21:40:00Z</dcterms:modified>
</cp:coreProperties>
</file>