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Gathering Request</w:t>
      </w:r>
    </w:p>
    <w:p>
      <w:pPr>
        <w:spacing w:after="80"/>
      </w:pPr>
      <w:r>
        <w:rPr>
          <w:color w:val="666666"/>
          <w:sz w:val="22"/>
          <w:szCs w:val="22"/>
        </w:rPr>
        <w:t xml:space="preserve">AI Agent Platform Assessment — Financial Services Client</w:t>
      </w:r>
    </w:p>
    <w:p>
      <w:pPr>
        <w:spacing w:after="200"/>
      </w:pPr>
      <w:r>
        <w:rPr>
          <w:color w:val="999999"/>
          <w:sz w:val="18"/>
          <w:szCs w:val="18"/>
        </w:rPr>
        <w:t xml:space="preserve">Prepared: June 17, 2026  |  Confidential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rPr>
          <w:sz w:val="20"/>
          <w:szCs w:val="20"/>
        </w:rPr>
        <w:t xml:space="preserve">This document requests the artifacts needed to sharpen the AI agent platform assessment from its current state (based on publicly available information, confidence 62%) to a client-specific recommendation with materially higher confidence. Each artifact is mapped to the assessment criterion and cost-model layer it directly informs, so the client team can prioritize based on which gaps most affect the decision. The P1 items alone could shift the platform ranking.</w:t>
      </w:r>
    </w:p>
    <w:p>
      <w:pPr>
        <w:pStyle w:val="Heading2"/>
      </w:pPr>
      <w:r>
        <w:t xml:space="preserve">Requested Artifacts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1600"/>
        <w:gridCol w:w="1100"/>
        <w:gridCol w:w="5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 / Cost Layer Informed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(Client)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CRM Platform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Determines whether Agentforce has native data advantage (Salesforce CRM) or requires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&amp; Sales Domain Fit, Customer Service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CIO / Head of Apps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EDP / Committed-Use Agreement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Determines whether Copilot Studio / custom-build can burn down existing commitments, fundamentally shifting the economics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Economics &amp; TCO, Azure Ecosystem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CTO / Cloud Ops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ServiceNow Deployment Status &amp; License 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Determines whether ServiceNow AI Agents are an incremental add vs. net-new platform investment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&amp; HR, Security &amp; Governance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CIO / IT Ops Lead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Architecture Diagrams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Maps integration points, data flows, and legacy system dependencies — critical for assessing each option's architectural 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Architecture Fit, Ecosystem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Architect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Use Cases &amp; Volume Expectations by 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Sizes the cost model, determines which domains drive the most value, and informs the Elo criterion weighting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criteria (weights)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Unit Leads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Estate Description (structured/unstructured split, PB volume)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Informs Data 360 / Data Cloud sizing and the volumetric cost model's storage and query 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Economics &amp; TCO, Architecture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CDO / Data Architect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&amp; Compliance Requirements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whether each platform meets FS-specific regulatory requirements (SOC 2, PCI DSS, FINRA,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Security, Governance &amp; FS Compliance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CISO / Compliance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Technology Roadmap &amp; Consolidation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Reveals whether a platform decision should optimize for current state or a future target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Strategic Alignment, Architecture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Automation / RPA 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Identifies existing automation that agents would augment, replace, or conflict with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 &amp; HR, Architecture Fit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Ops Lead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Envelope for AI Agent Platform Investment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Sets the economic boundary for the recommendation and informs build vs. buy vs. hybrid 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Economics &amp; TCO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CFO / CIO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Open Questions by Criterion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CRM &amp; Sales: </w:t>
      </w:r>
      <w:r>
        <w:rPr>
          <w:sz w:val="20"/>
          <w:szCs w:val="20"/>
        </w:rPr>
        <w:t xml:space="preserve">Does the client currently use Salesforce CRM, and if so, which edition and clouds?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Azure Ecosystem: </w:t>
      </w:r>
      <w:r>
        <w:rPr>
          <w:sz w:val="20"/>
          <w:szCs w:val="20"/>
        </w:rPr>
        <w:t xml:space="preserve">What is the remaining Azure EDP balance and commitment term? Are there reserved instances for AI/ML workloads?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Operations &amp; HR: </w:t>
      </w:r>
      <w:r>
        <w:rPr>
          <w:sz w:val="20"/>
          <w:szCs w:val="20"/>
        </w:rPr>
        <w:t xml:space="preserve">Is ServiceNow deployed for ITSM or HRSD? If so, what modules and license tier?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Security &amp; Governance: </w:t>
      </w:r>
      <w:r>
        <w:rPr>
          <w:sz w:val="20"/>
          <w:szCs w:val="20"/>
        </w:rPr>
        <w:t xml:space="preserve">Are there specific FS regulatory requirements (e.g., FINRA, OCC, PCI DSS) that mandate particular data residency or audit controls?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What ERP system(s) form the core of the hybrid architecture, and what domain bolt-ons are in place?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Economics: </w:t>
      </w:r>
      <w:r>
        <w:rPr>
          <w:sz w:val="20"/>
          <w:szCs w:val="20"/>
        </w:rPr>
        <w:t xml:space="preserve">Is there a defined budget envelope or business case threshold for the AI agent platform investment?</w:t>
      </w:r>
    </w:p>
    <w:p>
      <w:pPr>
        <w:pStyle w:val="Heading2"/>
        <w:spacing w:before="300"/>
      </w:pPr>
      <w:r>
        <w:t xml:space="preserve">Assumptions Currently in Force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The following assumptions are in effect until the above artifacts are provided. Each assumption carries risk — the client should understand that leaving these gaps open means the assessment rests on general industry data rather than their specific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client is assumed to be on Salesforce CRM based on their interest in Agentforce. If the CRM is a different platform (e.g., Dynamics 365, custom), the CRM/Sales domain scores shift materially.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Azure EDP commitments are assumed to be unknown. If significant committed spend exists, Copilot Studio and custom-build economics improve substantially.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ServiceNow is assumed to NOT be currently deployed. If it is, ServiceNow AI Agents become an incremental add rather than a net-new platform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Cost estimates are based on publicly available hyperscaler pricing as of June 2026, not client-negotiated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assessment covers front-end user interactions with AI agents only, excluding backend agent orchestration, computer vision, and ETL/transformation platform costs per the volumetric reference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 scoring is based on public information and general FS industry requirements. Client-specific regulatory, contractual, or architectural constraints may shift rankings.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2026-06-17T21:30:39.881Z</dcterms:created>
  <dcterms:modified xsi:type="dcterms:W3CDTF">2026-06-17T21:30:39.881Z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