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81C8" w14:textId="61EC8E64" w:rsidR="0094119B" w:rsidRDefault="008648B4" w:rsidP="00485199">
      <w:pPr>
        <w:pStyle w:val="KTHTitel"/>
        <w:spacing w:after="120"/>
        <w:jc w:val="both"/>
        <w:rPr>
          <w:sz w:val="24"/>
          <w:szCs w:val="18"/>
        </w:rPr>
      </w:pPr>
      <w:bookmarkStart w:id="0" w:name="_Hlk56602851"/>
      <w:r>
        <w:rPr>
          <w:noProof/>
        </w:rPr>
        <w:drawing>
          <wp:anchor distT="0" distB="0" distL="114300" distR="114300" simplePos="0" relativeHeight="251678208" behindDoc="1" locked="0" layoutInCell="1" allowOverlap="1" wp14:anchorId="6A04CC0A" wp14:editId="42989CA6">
            <wp:simplePos x="0" y="0"/>
            <wp:positionH relativeFrom="column">
              <wp:posOffset>2167890</wp:posOffset>
            </wp:positionH>
            <wp:positionV relativeFrom="page">
              <wp:posOffset>2162175</wp:posOffset>
            </wp:positionV>
            <wp:extent cx="3658870" cy="2447925"/>
            <wp:effectExtent l="0" t="0" r="0" b="9525"/>
            <wp:wrapSquare wrapText="bothSides"/>
            <wp:docPr id="2" name="Picture 2" descr="A person speaking into a micro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peaking into a microphon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4F5"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1538A87" wp14:editId="277FA281">
                <wp:simplePos x="0" y="0"/>
                <wp:positionH relativeFrom="column">
                  <wp:posOffset>1681480</wp:posOffset>
                </wp:positionH>
                <wp:positionV relativeFrom="paragraph">
                  <wp:posOffset>-1520837</wp:posOffset>
                </wp:positionV>
                <wp:extent cx="2926080" cy="408940"/>
                <wp:effectExtent l="0" t="0" r="571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DD12F" w14:textId="77777777" w:rsidR="0094119B" w:rsidRDefault="0094119B" w:rsidP="0094119B">
                            <w:pPr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Master’s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538A8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132.4pt;margin-top:-119.75pt;width:230.4pt;height:32.2pt;z-index:251664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" stroked="f">
                <v:textbox style="mso-fit-shape-to-text:t">
                  <w:txbxContent>
                    <w:p w14:paraId="3CCDD12F" w14:textId="77777777" w:rsidR="0094119B" w:rsidRDefault="0094119B" w:rsidP="0094119B">
                      <w:pPr>
                        <w:jc w:val="center"/>
                        <w:rPr>
                          <w:rFonts w:ascii="Arial Nova" w:hAnsi="Arial Nova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sz w:val="40"/>
                          <w:szCs w:val="40"/>
                          <w:lang w:val="en-US"/>
                        </w:rPr>
                        <w:t>Master’s 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7519"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C41F9CD" wp14:editId="0CD85D4D">
                <wp:simplePos x="0" y="0"/>
                <wp:positionH relativeFrom="column">
                  <wp:posOffset>483546</wp:posOffset>
                </wp:positionH>
                <wp:positionV relativeFrom="paragraph">
                  <wp:posOffset>-980284</wp:posOffset>
                </wp:positionV>
                <wp:extent cx="4700905" cy="664210"/>
                <wp:effectExtent l="0" t="0" r="4445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0905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66420" w14:textId="30293EE8" w:rsidR="0094119B" w:rsidRDefault="00697519" w:rsidP="0094119B">
                            <w:pPr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Modeling and Evaluating Rules of Turn-Taking</w:t>
                            </w:r>
                            <w:r w:rsidR="00F374F5">
                              <w:rPr>
                                <w:rFonts w:ascii="Arial Nova" w:hAnsi="Arial Nov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 between Humans and Robots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1F9CD" id="Text Box 1" o:spid="_x0000_s1027" type="#_x0000_t202" style="position:absolute;left:0;text-align:left;margin-left:38.05pt;margin-top:-77.2pt;width:370.15pt;height:52.3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" stroked="f">
                <v:textbox style="mso-fit-shape-to-text:t">
                  <w:txbxContent>
                    <w:p w14:paraId="15166420" w14:textId="30293EE8" w:rsidR="0094119B" w:rsidRDefault="00697519" w:rsidP="0094119B">
                      <w:pPr>
                        <w:jc w:val="center"/>
                        <w:rPr>
                          <w:rFonts w:ascii="Arial Nova" w:hAnsi="Arial Nova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sz w:val="36"/>
                          <w:szCs w:val="36"/>
                          <w:lang w:val="en-US"/>
                        </w:rPr>
                        <w:t>Modeling and Evaluating Rules of Turn-Taking</w:t>
                      </w:r>
                      <w:r w:rsidR="00F374F5">
                        <w:rPr>
                          <w:rFonts w:ascii="Arial Nova" w:hAnsi="Arial Nova"/>
                          <w:b/>
                          <w:bCs/>
                          <w:sz w:val="36"/>
                          <w:szCs w:val="36"/>
                          <w:lang w:val="en-US"/>
                        </w:rPr>
                        <w:t>s between Humans and Robots</w:t>
                      </w:r>
                      <w:r>
                        <w:rPr>
                          <w:rFonts w:ascii="Arial Nova" w:hAnsi="Arial Nova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19B">
        <w:rPr>
          <w:sz w:val="24"/>
          <w:szCs w:val="18"/>
        </w:rPr>
        <w:t>Description</w:t>
      </w:r>
    </w:p>
    <w:p w14:paraId="565AA1B4" w14:textId="4195153B" w:rsidR="00D63D43" w:rsidRDefault="009A0C53" w:rsidP="00FA0192">
      <w:pPr>
        <w:pStyle w:val="BodyText"/>
        <w:jc w:val="both"/>
      </w:pPr>
      <w:r w:rsidRPr="009A0C53">
        <w:t xml:space="preserve">In human-robot spoken interaction, an important feature to consider is when it is appropriate for the robot to speak </w:t>
      </w:r>
      <w:r w:rsidR="000355F7">
        <w:t>[</w:t>
      </w:r>
      <w:r w:rsidR="008648B4">
        <w:t>1</w:t>
      </w:r>
      <w:r w:rsidR="000355F7">
        <w:t>]</w:t>
      </w:r>
      <w:r w:rsidRPr="009A0C53">
        <w:t xml:space="preserve">. Indeed, turn-taking is an essential mechanism in language interactions. </w:t>
      </w:r>
      <w:r w:rsidR="000355F7">
        <w:t>Therefore, i</w:t>
      </w:r>
      <w:r w:rsidRPr="009A0C53">
        <w:t xml:space="preserve">dentifying and predicting when </w:t>
      </w:r>
      <w:r w:rsidR="000355F7">
        <w:t>the robot</w:t>
      </w:r>
      <w:r w:rsidRPr="009A0C53">
        <w:t xml:space="preserve"> must hold or shift the floor improves the acceptability of conversational robots by humans. A state-of-the-art, yet naïve approach, is to make turn-taking predictions at silences </w:t>
      </w:r>
      <w:r w:rsidR="00D63D43">
        <w:t>[</w:t>
      </w:r>
      <w:r w:rsidR="008648B4">
        <w:t>2</w:t>
      </w:r>
      <w:r w:rsidR="00D63D43">
        <w:t>-</w:t>
      </w:r>
      <w:r w:rsidR="008648B4">
        <w:t>3</w:t>
      </w:r>
      <w:r w:rsidR="00D63D43">
        <w:t>]</w:t>
      </w:r>
      <w:r w:rsidRPr="009A0C53">
        <w:t xml:space="preserve">: taking the turn should be prompt when a given agent is explicitly addressed, but silences should not be too short, to avoid the sensation of being interrupted; similarly, pauses should not be too long, which can also feel unnatural </w:t>
      </w:r>
      <w:r w:rsidR="00D63D43">
        <w:t>[</w:t>
      </w:r>
      <w:r w:rsidR="008648B4">
        <w:t>4</w:t>
      </w:r>
      <w:r w:rsidR="00D63D43">
        <w:t>]</w:t>
      </w:r>
      <w:r w:rsidRPr="009A0C53">
        <w:t>. Thus, turn-taking predictions depend then on the temporal occurrence of pauses, the duration of which specifies whether an agent is about to shift the floor or to hold it.</w:t>
      </w:r>
      <w:r w:rsidRPr="009A0C53">
        <w:t xml:space="preserve"> </w:t>
      </w:r>
    </w:p>
    <w:p w14:paraId="5350F5CF" w14:textId="797BE2F9" w:rsidR="0083106E" w:rsidRDefault="00FC4DC3" w:rsidP="00FA0192">
      <w:pPr>
        <w:pStyle w:val="BodyText"/>
        <w:jc w:val="both"/>
      </w:pPr>
      <w:r>
        <w:t xml:space="preserve">This project will focus on </w:t>
      </w:r>
      <w:r w:rsidR="00170AE7">
        <w:t>modeling rules of human-robot turn-takings. The focus will be on learning white-box models, that is, models that are explainable and understandable by system designers (as opposed to black-box models, e.g. neural networks</w:t>
      </w:r>
      <w:r w:rsidR="008648B4">
        <w:t xml:space="preserve"> </w:t>
      </w:r>
      <w:r w:rsidR="008648B4">
        <w:t>[5]</w:t>
      </w:r>
      <w:r w:rsidR="00170AE7">
        <w:t>). This can be done by means of</w:t>
      </w:r>
      <w:r w:rsidR="00CD2356">
        <w:t xml:space="preserve"> set of</w:t>
      </w:r>
      <w:r w:rsidR="00170AE7">
        <w:t xml:space="preserve"> rules</w:t>
      </w:r>
      <w:r w:rsidR="00CD2356">
        <w:t>,</w:t>
      </w:r>
      <w:r w:rsidR="00170AE7">
        <w:t xml:space="preserve"> or specifications</w:t>
      </w:r>
      <w:r w:rsidR="00CD2356">
        <w:t xml:space="preserve"> of the form ”</w:t>
      </w:r>
      <w:r w:rsidR="00CD2356" w:rsidRPr="00CD2356">
        <w:t xml:space="preserve">between 250ms and 1s, </w:t>
      </w:r>
      <w:r w:rsidR="00CD2356">
        <w:t>robot</w:t>
      </w:r>
      <w:r w:rsidR="00CD2356" w:rsidRPr="00CD2356">
        <w:t xml:space="preserve"> should not speak</w:t>
      </w:r>
      <w:r w:rsidR="00CD2356">
        <w:t>”</w:t>
      </w:r>
      <w:r w:rsidR="00CD2356" w:rsidRPr="00CD2356">
        <w:t>.</w:t>
      </w:r>
      <w:r w:rsidR="00CD2356">
        <w:t xml:space="preserve"> For instance,</w:t>
      </w:r>
      <w:r w:rsidR="00485199">
        <w:t xml:space="preserve"> </w:t>
      </w:r>
      <w:r w:rsidR="0094119B">
        <w:t xml:space="preserve">recent </w:t>
      </w:r>
      <w:r w:rsidR="00485199">
        <w:t>data-based approaches</w:t>
      </w:r>
      <w:r w:rsidR="00184082">
        <w:t xml:space="preserve"> [</w:t>
      </w:r>
      <w:r w:rsidR="008648B4">
        <w:t>6</w:t>
      </w:r>
      <w:r w:rsidR="00CD2356">
        <w:t>-</w:t>
      </w:r>
      <w:r w:rsidR="008648B4">
        <w:t>7</w:t>
      </w:r>
      <w:r w:rsidR="00184082">
        <w:t>]</w:t>
      </w:r>
      <w:r w:rsidR="00BE7F6B">
        <w:t xml:space="preserve"> extract </w:t>
      </w:r>
      <w:r w:rsidR="00BE7F6B" w:rsidRPr="00BE7F6B">
        <w:t>interpretable formalism</w:t>
      </w:r>
      <w:r w:rsidR="00BE7F6B">
        <w:t xml:space="preserve">s, that have this kind of </w:t>
      </w:r>
      <w:r w:rsidR="00BE7F6B" w:rsidRPr="00BE7F6B">
        <w:t>resemblance with natural language</w:t>
      </w:r>
      <w:r w:rsidR="00BE7F6B">
        <w:t>,</w:t>
      </w:r>
      <w:r w:rsidR="00BE7F6B" w:rsidRPr="00BE7F6B">
        <w:t xml:space="preserve"> to depict complex </w:t>
      </w:r>
      <w:r w:rsidR="009A0C53">
        <w:t>human-robot interactions</w:t>
      </w:r>
      <w:r w:rsidR="00BE7F6B">
        <w:t>, including turn-takings [</w:t>
      </w:r>
      <w:r w:rsidR="008648B4">
        <w:t>8</w:t>
      </w:r>
      <w:r w:rsidR="00BE7F6B">
        <w:t>]</w:t>
      </w:r>
      <w:r w:rsidR="009A0C53">
        <w:t>.</w:t>
      </w:r>
    </w:p>
    <w:p w14:paraId="63F2E4C2" w14:textId="77777777" w:rsidR="0094119B" w:rsidRDefault="0094119B" w:rsidP="00182C9D">
      <w:pPr>
        <w:pStyle w:val="KTHTitel"/>
        <w:spacing w:after="0" w:line="276" w:lineRule="auto"/>
        <w:jc w:val="both"/>
        <w:rPr>
          <w:sz w:val="24"/>
          <w:szCs w:val="18"/>
        </w:rPr>
      </w:pPr>
      <w:r>
        <w:rPr>
          <w:sz w:val="24"/>
          <w:szCs w:val="18"/>
        </w:rPr>
        <w:t>Goals</w:t>
      </w:r>
    </w:p>
    <w:p w14:paraId="783EC927" w14:textId="14AAD718" w:rsidR="0094119B" w:rsidRDefault="00103098" w:rsidP="00182C9D">
      <w:pPr>
        <w:pStyle w:val="BodyText"/>
        <w:jc w:val="both"/>
      </w:pPr>
      <w:r w:rsidRPr="00103098">
        <w:t xml:space="preserve">Your task will be to </w:t>
      </w:r>
      <w:r w:rsidR="00CD2356">
        <w:t>create</w:t>
      </w:r>
      <w:r w:rsidRPr="00103098">
        <w:t xml:space="preserve"> a </w:t>
      </w:r>
      <w:r w:rsidR="00CD2356">
        <w:t>user study</w:t>
      </w:r>
      <w:bookmarkStart w:id="1" w:name="_Hlk56604289"/>
      <w:r w:rsidR="009A0C53">
        <w:t>, where participants will converse with a robot (e.g., a Furhat)</w:t>
      </w:r>
      <w:r w:rsidR="000355F7">
        <w:t>. You will design when the robot ideally has to take the turn, run experiments, and readjust your turn-taking model regarding the participant’s feeling of whether the robot took the turn appropriately.</w:t>
      </w:r>
    </w:p>
    <w:p w14:paraId="1BB7E5D7" w14:textId="77777777" w:rsidR="00430161" w:rsidRDefault="00430161" w:rsidP="00182C9D">
      <w:pPr>
        <w:pStyle w:val="KTHTitel"/>
        <w:spacing w:after="0" w:line="276" w:lineRule="auto"/>
        <w:jc w:val="both"/>
        <w:rPr>
          <w:sz w:val="24"/>
          <w:szCs w:val="18"/>
        </w:rPr>
      </w:pPr>
      <w:r>
        <w:rPr>
          <w:sz w:val="24"/>
          <w:szCs w:val="18"/>
        </w:rPr>
        <w:t>Requirements</w:t>
      </w:r>
    </w:p>
    <w:p w14:paraId="78F92891" w14:textId="2FFD40A7" w:rsidR="00430161" w:rsidRPr="00103098" w:rsidRDefault="00430161" w:rsidP="00182C9D">
      <w:pPr>
        <w:pStyle w:val="BodyText"/>
        <w:jc w:val="both"/>
        <w:rPr>
          <w:lang w:val="en-SE"/>
        </w:rPr>
      </w:pPr>
      <w:r>
        <w:t xml:space="preserve">The project is suitable for students interested in the fields of robotics, </w:t>
      </w:r>
      <w:r w:rsidR="00FA0192">
        <w:t>human-robot interaction</w:t>
      </w:r>
      <w:r w:rsidR="00697519">
        <w:t xml:space="preserve">, the design of </w:t>
      </w:r>
      <w:r w:rsidR="00BE7F6B">
        <w:t xml:space="preserve">user </w:t>
      </w:r>
      <w:r w:rsidR="00697519">
        <w:t>studies</w:t>
      </w:r>
      <w:r w:rsidR="00FA0192">
        <w:t xml:space="preserve"> and </w:t>
      </w:r>
      <w:r>
        <w:t xml:space="preserve">machine learning. A </w:t>
      </w:r>
      <w:r w:rsidR="00FA0192">
        <w:t>good</w:t>
      </w:r>
      <w:r>
        <w:t xml:space="preserve"> command of Python is required.</w:t>
      </w:r>
    </w:p>
    <w:bookmarkEnd w:id="1"/>
    <w:p w14:paraId="09963D1D" w14:textId="77777777" w:rsidR="0094119B" w:rsidRDefault="0094119B" w:rsidP="00182C9D">
      <w:pPr>
        <w:pStyle w:val="KTHTitel"/>
        <w:spacing w:after="0" w:line="276" w:lineRule="auto"/>
        <w:jc w:val="both"/>
        <w:rPr>
          <w:sz w:val="24"/>
          <w:szCs w:val="18"/>
        </w:rPr>
      </w:pPr>
      <w:r>
        <w:rPr>
          <w:sz w:val="24"/>
          <w:szCs w:val="18"/>
        </w:rPr>
        <w:t>Contacts</w:t>
      </w:r>
    </w:p>
    <w:p w14:paraId="63B32D84" w14:textId="2A1888A3" w:rsidR="0094119B" w:rsidRDefault="0094119B" w:rsidP="00182C9D">
      <w:pPr>
        <w:pStyle w:val="BodyText"/>
        <w:spacing w:after="0"/>
        <w:jc w:val="both"/>
      </w:pPr>
      <w:bookmarkStart w:id="2" w:name="_Hlk56603462"/>
      <w:r w:rsidRPr="0094119B">
        <w:t>Alexis Linard (</w:t>
      </w:r>
      <w:hyperlink r:id="rId8" w:history="1">
        <w:r w:rsidR="00103098" w:rsidRPr="00D73583">
          <w:rPr>
            <w:rStyle w:val="Hyperlink"/>
          </w:rPr>
          <w:t>linard@kth.se</w:t>
        </w:r>
      </w:hyperlink>
      <w:r w:rsidRPr="0094119B">
        <w:t xml:space="preserve">), </w:t>
      </w:r>
      <w:r w:rsidR="00FA0192">
        <w:t>Ilaria Torre</w:t>
      </w:r>
      <w:r w:rsidRPr="0094119B">
        <w:t xml:space="preserve"> (</w:t>
      </w:r>
      <w:hyperlink r:id="rId9" w:history="1">
        <w:r w:rsidR="00FA0192" w:rsidRPr="00934A83">
          <w:rPr>
            <w:rStyle w:val="Hyperlink"/>
          </w:rPr>
          <w:t>ilariat@kth.se</w:t>
        </w:r>
      </w:hyperlink>
      <w:r w:rsidRPr="0094119B">
        <w:t>)</w:t>
      </w:r>
    </w:p>
    <w:bookmarkEnd w:id="2"/>
    <w:p w14:paraId="6BE612B1" w14:textId="77777777" w:rsidR="0094119B" w:rsidRDefault="0094119B" w:rsidP="00182C9D">
      <w:pPr>
        <w:pStyle w:val="BodyText"/>
        <w:spacing w:after="0"/>
        <w:jc w:val="both"/>
      </w:pPr>
    </w:p>
    <w:p w14:paraId="74680629" w14:textId="77777777" w:rsidR="0094119B" w:rsidRDefault="0094119B" w:rsidP="00182C9D">
      <w:pPr>
        <w:pStyle w:val="KTHTitel"/>
        <w:spacing w:after="0" w:line="276" w:lineRule="auto"/>
        <w:jc w:val="both"/>
        <w:rPr>
          <w:sz w:val="22"/>
          <w:szCs w:val="16"/>
        </w:rPr>
      </w:pPr>
      <w:r>
        <w:rPr>
          <w:sz w:val="22"/>
          <w:szCs w:val="16"/>
        </w:rPr>
        <w:t>References</w:t>
      </w:r>
    </w:p>
    <w:p w14:paraId="2202B9DC" w14:textId="421D268E" w:rsidR="000355F7" w:rsidRDefault="000355F7" w:rsidP="008648B4">
      <w:pPr>
        <w:pStyle w:val="BodyText"/>
        <w:spacing w:after="0" w:line="276" w:lineRule="auto"/>
        <w:jc w:val="both"/>
      </w:pPr>
      <w:r>
        <w:t>[</w:t>
      </w:r>
      <w:r w:rsidR="008648B4">
        <w:t>1</w:t>
      </w:r>
      <w:r>
        <w:t xml:space="preserve">] </w:t>
      </w:r>
      <w:r>
        <w:t>Harvey Sacks, Emanuel A Schegloff, and Gail Jefferson. 1978. A simplest systematics for the organization of turn taking for conversation. In Studies in the</w:t>
      </w:r>
      <w:r>
        <w:t xml:space="preserve"> </w:t>
      </w:r>
      <w:r>
        <w:t>organization of conversational interaction. Elsevier, 7–55</w:t>
      </w:r>
    </w:p>
    <w:p w14:paraId="640A035E" w14:textId="0FBEFCB6" w:rsidR="00D63D43" w:rsidRDefault="000355F7" w:rsidP="008648B4">
      <w:pPr>
        <w:pStyle w:val="BodyText"/>
        <w:spacing w:after="0" w:line="276" w:lineRule="auto"/>
        <w:jc w:val="both"/>
      </w:pPr>
      <w:r>
        <w:lastRenderedPageBreak/>
        <w:t>[</w:t>
      </w:r>
      <w:r w:rsidR="008648B4">
        <w:t>2</w:t>
      </w:r>
      <w:r>
        <w:t>] Luciana Ferrer, Elizabeth Shriberg, and Andreas Stolcke. 2002. Is the speaker</w:t>
      </w:r>
      <w:r>
        <w:t xml:space="preserve"> </w:t>
      </w:r>
      <w:r>
        <w:t>done yet? Faster and more accurate end-of-utterance detection using prosody. In</w:t>
      </w:r>
      <w:r>
        <w:t xml:space="preserve"> </w:t>
      </w:r>
      <w:r>
        <w:t>seventh international conference on spoken language processing.</w:t>
      </w:r>
    </w:p>
    <w:p w14:paraId="0C9EFDC1" w14:textId="527F50E9" w:rsidR="00D63D43" w:rsidRDefault="00D63D43" w:rsidP="008648B4">
      <w:pPr>
        <w:pStyle w:val="BodyText"/>
        <w:spacing w:after="0" w:line="276" w:lineRule="auto"/>
        <w:jc w:val="both"/>
      </w:pPr>
      <w:r>
        <w:t>[</w:t>
      </w:r>
      <w:r w:rsidR="008648B4">
        <w:t>3</w:t>
      </w:r>
      <w:r>
        <w:t>] Antoine Raux and Maxine Eskenazi. 2009. A finite-state turn-taking model for</w:t>
      </w:r>
      <w:r>
        <w:t xml:space="preserve"> </w:t>
      </w:r>
      <w:r>
        <w:t>spoken dialog systems. In Proceedings of Human Language Technologies: The</w:t>
      </w:r>
      <w:r>
        <w:t xml:space="preserve"> </w:t>
      </w:r>
      <w:r>
        <w:t>2009 Annual Conference of the North American Chapter of the Association for</w:t>
      </w:r>
      <w:r>
        <w:t xml:space="preserve"> </w:t>
      </w:r>
      <w:r>
        <w:t>Computational Linguistics. 629–637.</w:t>
      </w:r>
    </w:p>
    <w:p w14:paraId="2434DF4B" w14:textId="3CC7ACC9" w:rsidR="00D63D43" w:rsidRDefault="00D63D43" w:rsidP="008648B4">
      <w:pPr>
        <w:pStyle w:val="BodyText"/>
        <w:spacing w:after="0" w:line="276" w:lineRule="auto"/>
        <w:jc w:val="both"/>
      </w:pPr>
      <w:r>
        <w:t>[</w:t>
      </w:r>
      <w:r w:rsidR="008648B4">
        <w:t>4</w:t>
      </w:r>
      <w:r>
        <w:t>] Iolanda Leite, Hannaneh Hajishirzi, Sean Andrist, and Jill Lehman. 2013. Managing chaos: models of turn-taking in character-multichild interactions. In Proceedings of the 15th ACM on International conference on multimodal interaction.</w:t>
      </w:r>
      <w:r>
        <w:t xml:space="preserve"> </w:t>
      </w:r>
      <w:r>
        <w:t>43–50.</w:t>
      </w:r>
    </w:p>
    <w:p w14:paraId="533C73A9" w14:textId="5C2FEAE1" w:rsidR="008648B4" w:rsidRDefault="008648B4" w:rsidP="008648B4">
      <w:pPr>
        <w:pStyle w:val="BodyText"/>
        <w:spacing w:after="0" w:line="276" w:lineRule="auto"/>
        <w:jc w:val="both"/>
      </w:pPr>
      <w:r>
        <w:t xml:space="preserve">[5] </w:t>
      </w:r>
      <w:r>
        <w:t>Gabriel Skantze. 2017. Towards a general, continuous model of turn-taking in</w:t>
      </w:r>
      <w:r>
        <w:t xml:space="preserve"> </w:t>
      </w:r>
      <w:r>
        <w:t>spoken dialogue using LSTM recurrent neural networks. In Proceedings of the</w:t>
      </w:r>
      <w:r>
        <w:t xml:space="preserve"> </w:t>
      </w:r>
      <w:r>
        <w:t>18th Annual SIGdial Meeting on Discourse and Dialogue. 220–230.</w:t>
      </w:r>
    </w:p>
    <w:p w14:paraId="55C14875" w14:textId="6715EDA0" w:rsidR="00103098" w:rsidRDefault="00103098" w:rsidP="008648B4">
      <w:pPr>
        <w:pStyle w:val="BodyText"/>
        <w:spacing w:after="0" w:line="276" w:lineRule="auto"/>
        <w:jc w:val="both"/>
      </w:pPr>
      <w:r>
        <w:t>[</w:t>
      </w:r>
      <w:r w:rsidR="008648B4">
        <w:t>6</w:t>
      </w:r>
      <w:r>
        <w:t xml:space="preserve">] O. Maler and D. Nickovic, “Monitoring temporal properties of continuous signals,” in Formal Techniques, Modelling and Analysis of Timed and Fault-Tolerant Systems. Springer, 2004, </w:t>
      </w:r>
      <w:r w:rsidR="00485199">
        <w:t>p.</w:t>
      </w:r>
      <w:r>
        <w:t xml:space="preserve"> 152–166.</w:t>
      </w:r>
    </w:p>
    <w:p w14:paraId="369363E6" w14:textId="638D2075" w:rsidR="00FA0192" w:rsidRPr="008408F1" w:rsidRDefault="00103098" w:rsidP="008648B4">
      <w:pPr>
        <w:pStyle w:val="BodyText"/>
        <w:spacing w:after="0" w:line="276" w:lineRule="auto"/>
        <w:jc w:val="both"/>
      </w:pPr>
      <w:r>
        <w:t>[</w:t>
      </w:r>
      <w:r w:rsidR="008648B4">
        <w:t>7</w:t>
      </w:r>
      <w:r>
        <w:t>] G. Bombara, C.-I. Vasile, F. Penedo, H. Yasuoka, and C. Belta, “A decision tree approach to data classification using signal temporal logic,” in Proceedings of the 19th International Conference on Hybrid Systems: Computation and Control. ACM, 2016, pp. 1–10.</w:t>
      </w:r>
      <w:bookmarkEnd w:id="0"/>
    </w:p>
    <w:p w14:paraId="094D0EEB" w14:textId="6207F66A" w:rsidR="00AB5D2D" w:rsidRPr="008408F1" w:rsidRDefault="009A0C53" w:rsidP="008648B4">
      <w:pPr>
        <w:pStyle w:val="BodyText"/>
        <w:spacing w:line="276" w:lineRule="auto"/>
        <w:jc w:val="both"/>
      </w:pPr>
      <w:r>
        <w:t>[</w:t>
      </w:r>
      <w:r w:rsidR="008648B4">
        <w:t>8</w:t>
      </w:r>
      <w:r>
        <w:t xml:space="preserve">] </w:t>
      </w:r>
      <w:r w:rsidR="00BE7F6B">
        <w:t>David Porfirio, Allison Sauppé, Aws Albarghouthi, and Bilge Mutlu. 2018. Authoring and verifying human-robot interactions. In Proceedings of the 31st Annual</w:t>
      </w:r>
      <w:r w:rsidR="00BE7F6B">
        <w:t xml:space="preserve"> </w:t>
      </w:r>
      <w:r w:rsidR="00BE7F6B">
        <w:t>ACM Symposium on User Interface Software and Technology. 75–86.</w:t>
      </w:r>
    </w:p>
    <w:sectPr w:rsidR="00AB5D2D" w:rsidRPr="008408F1" w:rsidSect="00F91257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381" w:right="1304" w:bottom="1474" w:left="1474" w:header="652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1D053" w14:textId="77777777" w:rsidR="005B4E64" w:rsidRDefault="005B4E64" w:rsidP="00AB37AC">
      <w:r>
        <w:separator/>
      </w:r>
    </w:p>
  </w:endnote>
  <w:endnote w:type="continuationSeparator" w:id="0">
    <w:p w14:paraId="2BC46C3B" w14:textId="77777777" w:rsidR="005B4E64" w:rsidRDefault="005B4E64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1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94"/>
      <w:gridCol w:w="1134"/>
    </w:tblGrid>
    <w:tr w:rsidR="006A7494" w14:paraId="4F111FD3" w14:textId="77777777" w:rsidTr="007A0DF9">
      <w:tc>
        <w:tcPr>
          <w:tcW w:w="7994" w:type="dxa"/>
        </w:tcPr>
        <w:p w14:paraId="0C4644E9" w14:textId="77777777" w:rsidR="006A7494" w:rsidRDefault="006A7494" w:rsidP="007A0DF9">
          <w:pPr>
            <w:pStyle w:val="Footer"/>
          </w:pPr>
        </w:p>
      </w:tc>
      <w:tc>
        <w:tcPr>
          <w:tcW w:w="1134" w:type="dxa"/>
          <w:vAlign w:val="bottom"/>
        </w:tcPr>
        <w:p w14:paraId="7ECE654C" w14:textId="77777777" w:rsidR="006A7494" w:rsidRPr="009E4316" w:rsidRDefault="006A7494" w:rsidP="007A0DF9">
          <w:pPr>
            <w:pStyle w:val="Footer"/>
            <w:jc w:val="right"/>
            <w:rPr>
              <w:rStyle w:val="PageNumber"/>
            </w:rPr>
          </w:pPr>
          <w:r w:rsidRPr="009E4316">
            <w:rPr>
              <w:rStyle w:val="PageNumber"/>
            </w:rPr>
            <w:fldChar w:fldCharType="begin"/>
          </w:r>
          <w:r w:rsidRPr="009E4316">
            <w:rPr>
              <w:rStyle w:val="PageNumber"/>
            </w:rPr>
            <w:instrText xml:space="preserve"> PAGE </w:instrText>
          </w:r>
          <w:r w:rsidRPr="009E4316">
            <w:rPr>
              <w:rStyle w:val="PageNumber"/>
            </w:rPr>
            <w:fldChar w:fldCharType="separate"/>
          </w:r>
          <w:r w:rsidR="002179BC">
            <w:rPr>
              <w:rStyle w:val="PageNumber"/>
              <w:noProof/>
            </w:rPr>
            <w:t>2</w:t>
          </w:r>
          <w:r w:rsidRPr="009E4316">
            <w:rPr>
              <w:rStyle w:val="PageNumber"/>
            </w:rPr>
            <w:fldChar w:fldCharType="end"/>
          </w:r>
          <w:r w:rsidRPr="009E4316">
            <w:rPr>
              <w:rStyle w:val="PageNumber"/>
            </w:rPr>
            <w:t xml:space="preserve"> </w:t>
          </w:r>
          <w:r w:rsidRPr="009E4316">
            <w:rPr>
              <w:rStyle w:val="PageNumber"/>
            </w:rPr>
            <w:t>(</w:t>
          </w:r>
          <w:r w:rsidRPr="009E4316">
            <w:rPr>
              <w:rStyle w:val="PageNumber"/>
            </w:rPr>
            <w:fldChar w:fldCharType="begin"/>
          </w:r>
          <w:r w:rsidRPr="009E4316">
            <w:rPr>
              <w:rStyle w:val="PageNumber"/>
            </w:rPr>
            <w:instrText xml:space="preserve"> NUMPAGES </w:instrText>
          </w:r>
          <w:r w:rsidRPr="009E4316">
            <w:rPr>
              <w:rStyle w:val="PageNumber"/>
            </w:rPr>
            <w:fldChar w:fldCharType="separate"/>
          </w:r>
          <w:r w:rsidR="002179BC">
            <w:rPr>
              <w:rStyle w:val="PageNumber"/>
              <w:noProof/>
            </w:rPr>
            <w:t>2</w:t>
          </w:r>
          <w:r w:rsidRPr="009E4316">
            <w:rPr>
              <w:rStyle w:val="PageNumber"/>
            </w:rPr>
            <w:fldChar w:fldCharType="end"/>
          </w:r>
          <w:r w:rsidRPr="009E4316">
            <w:rPr>
              <w:rStyle w:val="PageNumber"/>
            </w:rPr>
            <w:t>)</w:t>
          </w:r>
        </w:p>
      </w:tc>
    </w:tr>
  </w:tbl>
  <w:p w14:paraId="5EFECE5F" w14:textId="77777777" w:rsidR="006A7494" w:rsidRPr="00DB69BA" w:rsidRDefault="006A7494" w:rsidP="006A7494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1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94"/>
      <w:gridCol w:w="1134"/>
    </w:tblGrid>
    <w:tr w:rsidR="006A7494" w14:paraId="26AEE5DA" w14:textId="77777777" w:rsidTr="007A0DF9">
      <w:tc>
        <w:tcPr>
          <w:tcW w:w="7994" w:type="dxa"/>
        </w:tcPr>
        <w:p w14:paraId="27F488DC" w14:textId="77777777" w:rsidR="006A7494" w:rsidRDefault="006A7494" w:rsidP="007A0DF9">
          <w:pPr>
            <w:pStyle w:val="Footer"/>
          </w:pPr>
        </w:p>
      </w:tc>
      <w:tc>
        <w:tcPr>
          <w:tcW w:w="1134" w:type="dxa"/>
          <w:vAlign w:val="bottom"/>
        </w:tcPr>
        <w:p w14:paraId="6B333616" w14:textId="77777777" w:rsidR="006A7494" w:rsidRPr="009E4316" w:rsidRDefault="006A7494" w:rsidP="007A0DF9">
          <w:pPr>
            <w:pStyle w:val="Footer"/>
            <w:jc w:val="right"/>
            <w:rPr>
              <w:rStyle w:val="PageNumber"/>
            </w:rPr>
          </w:pPr>
          <w:r w:rsidRPr="009E4316">
            <w:rPr>
              <w:rStyle w:val="PageNumber"/>
            </w:rPr>
            <w:fldChar w:fldCharType="begin"/>
          </w:r>
          <w:r w:rsidRPr="009E4316">
            <w:rPr>
              <w:rStyle w:val="PageNumber"/>
            </w:rPr>
            <w:instrText xml:space="preserve"> PAGE </w:instrText>
          </w:r>
          <w:r w:rsidRPr="009E4316">
            <w:rPr>
              <w:rStyle w:val="PageNumber"/>
            </w:rPr>
            <w:fldChar w:fldCharType="separate"/>
          </w:r>
          <w:r w:rsidR="00354E81">
            <w:rPr>
              <w:rStyle w:val="PageNumber"/>
              <w:noProof/>
            </w:rPr>
            <w:t>1</w:t>
          </w:r>
          <w:r w:rsidRPr="009E4316">
            <w:rPr>
              <w:rStyle w:val="PageNumber"/>
            </w:rPr>
            <w:fldChar w:fldCharType="end"/>
          </w:r>
          <w:r w:rsidRPr="009E4316">
            <w:rPr>
              <w:rStyle w:val="PageNumber"/>
            </w:rPr>
            <w:t xml:space="preserve"> </w:t>
          </w:r>
          <w:r w:rsidRPr="009E4316">
            <w:rPr>
              <w:rStyle w:val="PageNumber"/>
            </w:rPr>
            <w:t>(</w:t>
          </w:r>
          <w:r w:rsidRPr="009E4316">
            <w:rPr>
              <w:rStyle w:val="PageNumber"/>
            </w:rPr>
            <w:fldChar w:fldCharType="begin"/>
          </w:r>
          <w:r w:rsidRPr="009E4316">
            <w:rPr>
              <w:rStyle w:val="PageNumber"/>
            </w:rPr>
            <w:instrText xml:space="preserve"> NUMPAGES </w:instrText>
          </w:r>
          <w:r w:rsidRPr="009E4316">
            <w:rPr>
              <w:rStyle w:val="PageNumber"/>
            </w:rPr>
            <w:fldChar w:fldCharType="separate"/>
          </w:r>
          <w:r w:rsidR="00354E81">
            <w:rPr>
              <w:rStyle w:val="PageNumber"/>
              <w:noProof/>
            </w:rPr>
            <w:t>1</w:t>
          </w:r>
          <w:r w:rsidRPr="009E4316">
            <w:rPr>
              <w:rStyle w:val="PageNumber"/>
            </w:rPr>
            <w:fldChar w:fldCharType="end"/>
          </w:r>
          <w:r w:rsidRPr="009E4316">
            <w:rPr>
              <w:rStyle w:val="PageNumber"/>
            </w:rPr>
            <w:t>)</w:t>
          </w:r>
        </w:p>
      </w:tc>
    </w:tr>
  </w:tbl>
  <w:p w14:paraId="1EB4996A" w14:textId="77777777" w:rsidR="006A7494" w:rsidRPr="00DB69BA" w:rsidRDefault="006A7494" w:rsidP="006A7494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5F579" w14:textId="77777777" w:rsidR="005B4E64" w:rsidRDefault="005B4E64" w:rsidP="00AB37AC">
      <w:r>
        <w:separator/>
      </w:r>
    </w:p>
  </w:footnote>
  <w:footnote w:type="continuationSeparator" w:id="0">
    <w:p w14:paraId="411C5432" w14:textId="77777777" w:rsidR="005B4E64" w:rsidRDefault="005B4E64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1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40"/>
      <w:gridCol w:w="226"/>
      <w:gridCol w:w="1962"/>
      <w:gridCol w:w="226"/>
      <w:gridCol w:w="1962"/>
    </w:tblGrid>
    <w:tr w:rsidR="006A7494" w14:paraId="3D3990CF" w14:textId="77777777" w:rsidTr="00916344">
      <w:trPr>
        <w:trHeight w:val="238"/>
      </w:trPr>
      <w:tc>
        <w:tcPr>
          <w:tcW w:w="4740" w:type="dxa"/>
        </w:tcPr>
        <w:p w14:paraId="26F1673D" w14:textId="77777777" w:rsidR="006A7494" w:rsidRPr="00271F0E" w:rsidRDefault="006A7494" w:rsidP="007A0DF9">
          <w:pPr>
            <w:pStyle w:val="HeaderBold"/>
          </w:pPr>
        </w:p>
      </w:tc>
      <w:tc>
        <w:tcPr>
          <w:tcW w:w="226" w:type="dxa"/>
        </w:tcPr>
        <w:p w14:paraId="161254EC" w14:textId="77777777" w:rsidR="006A7494" w:rsidRPr="00271F0E" w:rsidRDefault="006A7494" w:rsidP="007A0DF9">
          <w:pPr>
            <w:pStyle w:val="HeaderBold"/>
          </w:pPr>
        </w:p>
      </w:tc>
      <w:tc>
        <w:tcPr>
          <w:tcW w:w="1962" w:type="dxa"/>
        </w:tcPr>
        <w:p w14:paraId="58509954" w14:textId="77777777" w:rsidR="006A7494" w:rsidRPr="00271F0E" w:rsidRDefault="006A7494" w:rsidP="007A0DF9">
          <w:pPr>
            <w:pStyle w:val="HeaderBold"/>
          </w:pPr>
        </w:p>
      </w:tc>
      <w:tc>
        <w:tcPr>
          <w:tcW w:w="226" w:type="dxa"/>
        </w:tcPr>
        <w:p w14:paraId="2717232E" w14:textId="77777777" w:rsidR="006A7494" w:rsidRPr="00271F0E" w:rsidRDefault="006A7494" w:rsidP="007A0DF9">
          <w:pPr>
            <w:pStyle w:val="HeaderBold"/>
          </w:pPr>
        </w:p>
      </w:tc>
      <w:tc>
        <w:tcPr>
          <w:tcW w:w="1962" w:type="dxa"/>
        </w:tcPr>
        <w:p w14:paraId="3DAD5242" w14:textId="77777777" w:rsidR="006A7494" w:rsidRPr="00271F0E" w:rsidRDefault="006A7494" w:rsidP="007A0DF9">
          <w:pPr>
            <w:pStyle w:val="HeaderBold"/>
          </w:pPr>
        </w:p>
      </w:tc>
    </w:tr>
    <w:tr w:rsidR="006A7494" w14:paraId="321A2E31" w14:textId="77777777" w:rsidTr="007A0DF9">
      <w:tc>
        <w:tcPr>
          <w:tcW w:w="4740" w:type="dxa"/>
        </w:tcPr>
        <w:p w14:paraId="64751F14" w14:textId="77777777" w:rsidR="006A7494" w:rsidRPr="00D6309B" w:rsidRDefault="006A7494" w:rsidP="007A0DF9">
          <w:pPr>
            <w:pStyle w:val="Header"/>
          </w:pPr>
        </w:p>
      </w:tc>
      <w:tc>
        <w:tcPr>
          <w:tcW w:w="226" w:type="dxa"/>
        </w:tcPr>
        <w:p w14:paraId="7C361FD9" w14:textId="77777777" w:rsidR="006A7494" w:rsidRPr="00D6309B" w:rsidRDefault="006A7494" w:rsidP="007A0DF9">
          <w:pPr>
            <w:pStyle w:val="Header"/>
          </w:pPr>
        </w:p>
      </w:tc>
      <w:tc>
        <w:tcPr>
          <w:tcW w:w="1962" w:type="dxa"/>
        </w:tcPr>
        <w:p w14:paraId="4370C304" w14:textId="77777777" w:rsidR="006A7494" w:rsidRPr="00D6309B" w:rsidRDefault="006A7494" w:rsidP="007A0DF9">
          <w:pPr>
            <w:pStyle w:val="Header"/>
          </w:pPr>
        </w:p>
      </w:tc>
      <w:tc>
        <w:tcPr>
          <w:tcW w:w="226" w:type="dxa"/>
        </w:tcPr>
        <w:p w14:paraId="57F63B9B" w14:textId="77777777" w:rsidR="006A7494" w:rsidRPr="00D6309B" w:rsidRDefault="006A7494" w:rsidP="007A0DF9">
          <w:pPr>
            <w:pStyle w:val="Header"/>
          </w:pPr>
        </w:p>
      </w:tc>
      <w:tc>
        <w:tcPr>
          <w:tcW w:w="1962" w:type="dxa"/>
        </w:tcPr>
        <w:p w14:paraId="1C598A45" w14:textId="77777777" w:rsidR="006A7494" w:rsidRPr="00D6309B" w:rsidRDefault="006A7494" w:rsidP="007A0DF9">
          <w:pPr>
            <w:pStyle w:val="Header"/>
          </w:pPr>
        </w:p>
      </w:tc>
    </w:tr>
    <w:tr w:rsidR="006A7494" w14:paraId="6C063E9A" w14:textId="77777777" w:rsidTr="00916344">
      <w:trPr>
        <w:trHeight w:val="238"/>
      </w:trPr>
      <w:tc>
        <w:tcPr>
          <w:tcW w:w="9116" w:type="dxa"/>
          <w:gridSpan w:val="5"/>
        </w:tcPr>
        <w:p w14:paraId="316ADF53" w14:textId="77777777" w:rsidR="006A7494" w:rsidRPr="006A7494" w:rsidRDefault="006A7494" w:rsidP="006A7494">
          <w:pPr>
            <w:pStyle w:val="HeaderBold"/>
          </w:pPr>
        </w:p>
      </w:tc>
    </w:tr>
    <w:tr w:rsidR="006A7494" w14:paraId="00511B73" w14:textId="77777777" w:rsidTr="007A0DF9">
      <w:tc>
        <w:tcPr>
          <w:tcW w:w="9116" w:type="dxa"/>
          <w:gridSpan w:val="5"/>
        </w:tcPr>
        <w:p w14:paraId="469C96C7" w14:textId="77777777" w:rsidR="006A7494" w:rsidRPr="006A7494" w:rsidRDefault="006A7494" w:rsidP="006A7494">
          <w:pPr>
            <w:pStyle w:val="Header"/>
          </w:pPr>
        </w:p>
      </w:tc>
    </w:tr>
  </w:tbl>
  <w:p w14:paraId="4296C55F" w14:textId="77777777" w:rsidR="006A7494" w:rsidRPr="00D6309B" w:rsidRDefault="006A7494" w:rsidP="006A74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853" w:type="dxa"/>
      <w:tblInd w:w="-7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21"/>
      <w:gridCol w:w="1956"/>
      <w:gridCol w:w="226"/>
      <w:gridCol w:w="1962"/>
      <w:gridCol w:w="226"/>
      <w:gridCol w:w="1962"/>
    </w:tblGrid>
    <w:tr w:rsidR="006A7494" w14:paraId="4F178217" w14:textId="77777777" w:rsidTr="003F35E7">
      <w:trPr>
        <w:trHeight w:val="238"/>
      </w:trPr>
      <w:tc>
        <w:tcPr>
          <w:tcW w:w="3521" w:type="dxa"/>
          <w:vMerge w:val="restart"/>
        </w:tcPr>
        <w:p w14:paraId="62940540" w14:textId="77777777" w:rsidR="006A7494" w:rsidRDefault="006A7494" w:rsidP="007A0DF9">
          <w:pPr>
            <w:pStyle w:val="Header"/>
            <w:spacing w:before="60"/>
            <w:rPr>
              <w:b/>
            </w:rPr>
          </w:pPr>
          <w:r>
            <w:rPr>
              <w:noProof/>
              <w:lang w:eastAsia="sv-SE"/>
            </w:rPr>
            <w:drawing>
              <wp:inline distT="0" distB="0" distL="0" distR="0" wp14:anchorId="27772452" wp14:editId="20B92C17">
                <wp:extent cx="954000" cy="954000"/>
                <wp:effectExtent l="0" t="0" r="0" b="0"/>
                <wp:docPr id="4" name="Bildobjekt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TH_Logga1_Or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000" cy="9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56" w:type="dxa"/>
        </w:tcPr>
        <w:p w14:paraId="639A483B" w14:textId="77777777"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14:paraId="30D1F36D" w14:textId="77777777"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14:paraId="017456F9" w14:textId="77777777"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14:paraId="67392EAD" w14:textId="77777777"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14:paraId="17C080BD" w14:textId="77777777" w:rsidR="006A7494" w:rsidRPr="006A7494" w:rsidRDefault="006A7494" w:rsidP="006A7494">
          <w:pPr>
            <w:pStyle w:val="HeaderBold"/>
          </w:pPr>
        </w:p>
      </w:tc>
    </w:tr>
    <w:tr w:rsidR="006A7494" w14:paraId="7074816D" w14:textId="77777777" w:rsidTr="007A0DF9">
      <w:tc>
        <w:tcPr>
          <w:tcW w:w="3521" w:type="dxa"/>
          <w:vMerge/>
        </w:tcPr>
        <w:p w14:paraId="53E6855F" w14:textId="77777777"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14:paraId="4D975F42" w14:textId="77777777"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14:paraId="432E4756" w14:textId="77777777"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14:paraId="61737858" w14:textId="77777777"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14:paraId="25DCBA76" w14:textId="77777777"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14:paraId="1FEA0953" w14:textId="77777777" w:rsidR="006A7494" w:rsidRPr="006A7494" w:rsidRDefault="006A7494" w:rsidP="006A7494">
          <w:pPr>
            <w:pStyle w:val="Header"/>
          </w:pPr>
        </w:p>
      </w:tc>
    </w:tr>
    <w:tr w:rsidR="006A7494" w14:paraId="6EF14A10" w14:textId="77777777" w:rsidTr="003F35E7">
      <w:trPr>
        <w:trHeight w:val="238"/>
      </w:trPr>
      <w:tc>
        <w:tcPr>
          <w:tcW w:w="3521" w:type="dxa"/>
          <w:vMerge/>
        </w:tcPr>
        <w:p w14:paraId="40962F5B" w14:textId="77777777"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14:paraId="5CA37A2B" w14:textId="77777777"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14:paraId="0692A1BC" w14:textId="77777777"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14:paraId="4253622B" w14:textId="77777777"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14:paraId="13E9E04B" w14:textId="77777777"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14:paraId="0E4E5A77" w14:textId="77777777" w:rsidR="006A7494" w:rsidRPr="006A7494" w:rsidRDefault="006A7494" w:rsidP="006A7494">
          <w:pPr>
            <w:pStyle w:val="HeaderBold"/>
          </w:pPr>
        </w:p>
      </w:tc>
    </w:tr>
    <w:tr w:rsidR="006A7494" w14:paraId="0E91FF4A" w14:textId="77777777" w:rsidTr="007A0DF9">
      <w:tc>
        <w:tcPr>
          <w:tcW w:w="3521" w:type="dxa"/>
          <w:vMerge/>
        </w:tcPr>
        <w:p w14:paraId="39B348EA" w14:textId="77777777"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14:paraId="2E0111A6" w14:textId="77777777"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14:paraId="7A0EE292" w14:textId="77777777"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14:paraId="2816F001" w14:textId="77777777"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14:paraId="13021EAC" w14:textId="77777777"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14:paraId="535F6AD3" w14:textId="77777777" w:rsidR="006A7494" w:rsidRPr="006A7494" w:rsidRDefault="006A7494" w:rsidP="006A7494">
          <w:pPr>
            <w:pStyle w:val="Header"/>
          </w:pPr>
        </w:p>
      </w:tc>
    </w:tr>
    <w:tr w:rsidR="006A7494" w14:paraId="4921D6D2" w14:textId="77777777" w:rsidTr="003F35E7">
      <w:trPr>
        <w:trHeight w:val="238"/>
      </w:trPr>
      <w:tc>
        <w:tcPr>
          <w:tcW w:w="3521" w:type="dxa"/>
          <w:vMerge/>
        </w:tcPr>
        <w:p w14:paraId="11FB7D2C" w14:textId="77777777"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14:paraId="77FDB8CE" w14:textId="77777777"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14:paraId="5BA79D09" w14:textId="77777777"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14:paraId="4840592E" w14:textId="77777777"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14:paraId="67AA1DAA" w14:textId="77777777"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14:paraId="0440E871" w14:textId="77777777" w:rsidR="006A7494" w:rsidRPr="006A7494" w:rsidRDefault="006A7494" w:rsidP="006A7494">
          <w:pPr>
            <w:pStyle w:val="HeaderBold"/>
          </w:pPr>
        </w:p>
      </w:tc>
    </w:tr>
    <w:tr w:rsidR="006A7494" w14:paraId="183538EB" w14:textId="77777777" w:rsidTr="007A0DF9">
      <w:tc>
        <w:tcPr>
          <w:tcW w:w="3521" w:type="dxa"/>
          <w:vMerge/>
        </w:tcPr>
        <w:p w14:paraId="323B10BB" w14:textId="77777777"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14:paraId="1EFD92A1" w14:textId="77777777"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14:paraId="00EEE2EA" w14:textId="77777777"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14:paraId="6783D5DD" w14:textId="77777777"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14:paraId="47B07B98" w14:textId="77777777"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14:paraId="58824245" w14:textId="77777777" w:rsidR="006A7494" w:rsidRPr="006A7494" w:rsidRDefault="006A7494" w:rsidP="006A7494">
          <w:pPr>
            <w:pStyle w:val="Header"/>
          </w:pPr>
        </w:p>
      </w:tc>
    </w:tr>
    <w:tr w:rsidR="006A7494" w14:paraId="0B8A6ED8" w14:textId="77777777" w:rsidTr="003F35E7">
      <w:trPr>
        <w:trHeight w:val="238"/>
      </w:trPr>
      <w:tc>
        <w:tcPr>
          <w:tcW w:w="3521" w:type="dxa"/>
          <w:vMerge/>
        </w:tcPr>
        <w:p w14:paraId="4CD55FC5" w14:textId="77777777"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14:paraId="30C7DE96" w14:textId="77777777"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14:paraId="7EB2E80C" w14:textId="77777777"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14:paraId="307D001C" w14:textId="77777777"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14:paraId="4679ED71" w14:textId="77777777"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14:paraId="4E96D587" w14:textId="77777777" w:rsidR="006A7494" w:rsidRPr="006A7494" w:rsidRDefault="006A7494" w:rsidP="006A7494">
          <w:pPr>
            <w:pStyle w:val="HeaderBold"/>
          </w:pPr>
        </w:p>
      </w:tc>
    </w:tr>
    <w:tr w:rsidR="006A7494" w14:paraId="2083B895" w14:textId="77777777" w:rsidTr="007A0DF9">
      <w:tc>
        <w:tcPr>
          <w:tcW w:w="3521" w:type="dxa"/>
          <w:vMerge/>
        </w:tcPr>
        <w:p w14:paraId="58CAFCEE" w14:textId="77777777"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14:paraId="7E561398" w14:textId="77777777"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14:paraId="473AA5F4" w14:textId="77777777"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14:paraId="2FFD65AC" w14:textId="77777777"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14:paraId="27323DC5" w14:textId="77777777"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14:paraId="4D787094" w14:textId="77777777" w:rsidR="006A7494" w:rsidRPr="006A7494" w:rsidRDefault="006A7494" w:rsidP="006A7494">
          <w:pPr>
            <w:pStyle w:val="Header"/>
          </w:pPr>
        </w:p>
      </w:tc>
    </w:tr>
  </w:tbl>
  <w:p w14:paraId="784CE54C" w14:textId="77777777" w:rsidR="00A011CC" w:rsidRDefault="00A011CC" w:rsidP="00A011CC">
    <w:pPr>
      <w:pStyle w:val="Header"/>
    </w:pPr>
  </w:p>
  <w:p w14:paraId="39058527" w14:textId="77777777" w:rsidR="00A011CC" w:rsidRDefault="00A011CC" w:rsidP="00A011CC">
    <w:pPr>
      <w:pStyle w:val="Header"/>
    </w:pPr>
  </w:p>
  <w:p w14:paraId="23D1FC6A" w14:textId="77777777" w:rsidR="00A011CC" w:rsidRDefault="00A011CC" w:rsidP="00A011CC">
    <w:pPr>
      <w:pStyle w:val="Header"/>
    </w:pPr>
  </w:p>
  <w:p w14:paraId="49CD40C7" w14:textId="77777777" w:rsidR="00A011CC" w:rsidRDefault="00A011CC" w:rsidP="00A011CC">
    <w:pPr>
      <w:pStyle w:val="Header"/>
    </w:pPr>
  </w:p>
  <w:p w14:paraId="623AFD10" w14:textId="77777777" w:rsidR="00A011CC" w:rsidRPr="00B75534" w:rsidRDefault="00A011CC" w:rsidP="00A011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6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0192"/>
    <w:rsid w:val="000355F7"/>
    <w:rsid w:val="00037A26"/>
    <w:rsid w:val="000B4D37"/>
    <w:rsid w:val="000F0D78"/>
    <w:rsid w:val="00103098"/>
    <w:rsid w:val="00154313"/>
    <w:rsid w:val="001621F9"/>
    <w:rsid w:val="00170AE7"/>
    <w:rsid w:val="00182C9D"/>
    <w:rsid w:val="00184082"/>
    <w:rsid w:val="0018642A"/>
    <w:rsid w:val="001F3547"/>
    <w:rsid w:val="002179BC"/>
    <w:rsid w:val="002749BA"/>
    <w:rsid w:val="002A115A"/>
    <w:rsid w:val="002E47D4"/>
    <w:rsid w:val="00310604"/>
    <w:rsid w:val="00326A21"/>
    <w:rsid w:val="00354E81"/>
    <w:rsid w:val="00383258"/>
    <w:rsid w:val="003A221F"/>
    <w:rsid w:val="003B55F6"/>
    <w:rsid w:val="003C5C7A"/>
    <w:rsid w:val="003D5E50"/>
    <w:rsid w:val="003F0FAA"/>
    <w:rsid w:val="003F35E7"/>
    <w:rsid w:val="00430161"/>
    <w:rsid w:val="00432EEE"/>
    <w:rsid w:val="00484AB4"/>
    <w:rsid w:val="00485199"/>
    <w:rsid w:val="004A3440"/>
    <w:rsid w:val="00516DE4"/>
    <w:rsid w:val="00523FF5"/>
    <w:rsid w:val="00547786"/>
    <w:rsid w:val="00547E65"/>
    <w:rsid w:val="0057553D"/>
    <w:rsid w:val="005B4E64"/>
    <w:rsid w:val="00611DEC"/>
    <w:rsid w:val="006574CC"/>
    <w:rsid w:val="00692949"/>
    <w:rsid w:val="00697519"/>
    <w:rsid w:val="006A7494"/>
    <w:rsid w:val="006C3154"/>
    <w:rsid w:val="00730430"/>
    <w:rsid w:val="007835A7"/>
    <w:rsid w:val="00792464"/>
    <w:rsid w:val="007B03F4"/>
    <w:rsid w:val="007F3C19"/>
    <w:rsid w:val="007F67AA"/>
    <w:rsid w:val="00825507"/>
    <w:rsid w:val="0083106E"/>
    <w:rsid w:val="00832C5F"/>
    <w:rsid w:val="008408F1"/>
    <w:rsid w:val="00863257"/>
    <w:rsid w:val="008648B4"/>
    <w:rsid w:val="00873303"/>
    <w:rsid w:val="008815CA"/>
    <w:rsid w:val="008822FA"/>
    <w:rsid w:val="008E4593"/>
    <w:rsid w:val="00916344"/>
    <w:rsid w:val="00922FFA"/>
    <w:rsid w:val="009361E7"/>
    <w:rsid w:val="0094119B"/>
    <w:rsid w:val="00981197"/>
    <w:rsid w:val="009A0C53"/>
    <w:rsid w:val="009A3428"/>
    <w:rsid w:val="009A59C3"/>
    <w:rsid w:val="00A011CC"/>
    <w:rsid w:val="00A37248"/>
    <w:rsid w:val="00A506FD"/>
    <w:rsid w:val="00A77340"/>
    <w:rsid w:val="00A833EA"/>
    <w:rsid w:val="00AA3946"/>
    <w:rsid w:val="00AB37AC"/>
    <w:rsid w:val="00AB5D2D"/>
    <w:rsid w:val="00AE299D"/>
    <w:rsid w:val="00AE369F"/>
    <w:rsid w:val="00AF0371"/>
    <w:rsid w:val="00B02309"/>
    <w:rsid w:val="00B411DA"/>
    <w:rsid w:val="00B5121A"/>
    <w:rsid w:val="00B90528"/>
    <w:rsid w:val="00BC64D7"/>
    <w:rsid w:val="00BD10EE"/>
    <w:rsid w:val="00BE7F6B"/>
    <w:rsid w:val="00C06690"/>
    <w:rsid w:val="00C46B7C"/>
    <w:rsid w:val="00C65034"/>
    <w:rsid w:val="00C87FA2"/>
    <w:rsid w:val="00CD2356"/>
    <w:rsid w:val="00D2245B"/>
    <w:rsid w:val="00D63D43"/>
    <w:rsid w:val="00E179F1"/>
    <w:rsid w:val="00E61ED9"/>
    <w:rsid w:val="00E863C1"/>
    <w:rsid w:val="00EB07F4"/>
    <w:rsid w:val="00EB1D22"/>
    <w:rsid w:val="00EB3683"/>
    <w:rsid w:val="00EF1D64"/>
    <w:rsid w:val="00F374F5"/>
    <w:rsid w:val="00F57388"/>
    <w:rsid w:val="00F91257"/>
    <w:rsid w:val="00F94E56"/>
    <w:rsid w:val="00FA0192"/>
    <w:rsid w:val="00FA2711"/>
    <w:rsid w:val="00FC4DC3"/>
    <w:rsid w:val="00FC5FBC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FF39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3" w:qFormat="1"/>
    <w:lsdException w:name="heading 2" w:uiPriority="3" w:unhideWhenUsed="1" w:qFormat="1"/>
    <w:lsdException w:name="heading 3" w:uiPriority="3" w:unhideWhenUsed="1" w:qFormat="1"/>
    <w:lsdException w:name="heading 4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 w:unhideWhenUsed="1"/>
    <w:lsdException w:name="footer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7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 w:unhideWhenUsed="1"/>
    <w:lsdException w:name="List Bullet 3" w:uiPriority="5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4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61ED9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3C5C7A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3C5C7A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3C5C7A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3C5C7A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qFormat/>
    <w:rsid w:val="003C5C7A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rsid w:val="00E61ED9"/>
  </w:style>
  <w:style w:type="paragraph" w:styleId="BodyText2">
    <w:name w:val="Body Text 2"/>
    <w:aliases w:val="KTH Brödtext 2"/>
    <w:basedOn w:val="BodyText"/>
    <w:link w:val="BodyText2Char"/>
    <w:uiPriority w:val="4"/>
    <w:rsid w:val="003C5C7A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E61ED9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3C5C7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3C5C7A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3C5C7A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3C5C7A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semiHidden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semiHidden/>
    <w:rsid w:val="003F0FAA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3F35E7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semiHidden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semiHidden/>
    <w:rsid w:val="003F0FA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3C5C7A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3C5C7A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3C5C7A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3C5C7A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semiHidden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semiHidden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semiHidden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semiHidden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table" w:styleId="TableGrid">
    <w:name w:val="Table Grid"/>
    <w:basedOn w:val="TableNormal"/>
    <w:uiPriority w:val="59"/>
    <w:rsid w:val="006A7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74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30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ard@kth.s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lariat@kth.se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MasterProposals\project_turn_taking.dotx" TargetMode="External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project_turn_taking</Template>
  <TotalTime>0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2022-02-03T12:01:00Z</dcterms:created>
  <dcterms:modified xsi:type="dcterms:W3CDTF">2022-02-03T16:19:00Z</dcterms:modified>
</cp:coreProperties>
</file>