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pPr>
      <w:r>
        <w:rPr>
          <w:rFonts w:ascii="Arial" w:cs="Arial" w:eastAsia="Arial" w:hAnsi="Arial"/>
          <w:b/>
          <w:bCs/>
          <w:sz w:val="32"/>
          <w:szCs w:val="32"/>
        </w:rPr>
        <w:t xml:space="preserve">NWAi TechGroup — DD Investment Report</w:t>
      </w:r>
    </w:p>
    <w:p>
      <w:pPr>
        <w:pBdr>
          <w:bottom w:val="single" w:color="999999" w:sz="6" w:space="1"/>
        </w:pBdr>
        <w:spacing w:after="160" w:before="160"/>
      </w:pPr>
    </w:p>
    <w:p>
      <w:pPr>
        <w:spacing w:after="60" w:before="60"/>
      </w:pPr>
      <w:r>
        <w:rPr>
          <w:rFonts w:ascii="Arial" w:cs="Arial" w:eastAsia="Arial" w:hAnsi="Arial"/>
          <w:b/>
          <w:bCs/>
          <w:sz w:val="22"/>
          <w:szCs w:val="22"/>
        </w:rPr>
        <w:t xml:space="preserve">Company: </w:t>
      </w:r>
      <w:r>
        <w:rPr>
          <w:rFonts w:ascii="Arial" w:cs="Arial" w:eastAsia="Arial" w:hAnsi="Arial"/>
          <w:sz w:val="22"/>
          <w:szCs w:val="22"/>
        </w:rPr>
        <w:t xml:space="preserve">Synergist Technology, LLC (d/b/a AFFIRM)</w:t>
      </w:r>
    </w:p>
    <w:p>
      <w:pPr>
        <w:spacing w:after="60" w:before="60"/>
      </w:pPr>
      <w:r>
        <w:rPr>
          <w:rFonts w:ascii="Arial" w:cs="Arial" w:eastAsia="Arial" w:hAnsi="Arial"/>
          <w:b/>
          <w:bCs/>
          <w:sz w:val="22"/>
          <w:szCs w:val="22"/>
        </w:rPr>
        <w:t xml:space="preserve">CEO: </w:t>
      </w:r>
      <w:r>
        <w:rPr>
          <w:rFonts w:ascii="Arial" w:cs="Arial" w:eastAsia="Arial" w:hAnsi="Arial"/>
          <w:sz w:val="22"/>
          <w:szCs w:val="22"/>
        </w:rPr>
        <w:t xml:space="preserve">Brad Levine</w:t>
      </w:r>
    </w:p>
    <w:p>
      <w:pPr>
        <w:spacing w:after="60" w:before="60"/>
      </w:pPr>
      <w:r>
        <w:rPr>
          <w:rFonts w:ascii="Arial" w:cs="Arial" w:eastAsia="Arial" w:hAnsi="Arial"/>
          <w:b/>
          <w:bCs/>
          <w:sz w:val="22"/>
          <w:szCs w:val="22"/>
        </w:rPr>
        <w:t xml:space="preserve">Report Date: </w:t>
      </w:r>
      <w:r>
        <w:rPr>
          <w:rFonts w:ascii="Arial" w:cs="Arial" w:eastAsia="Arial" w:hAnsi="Arial"/>
          <w:sz w:val="22"/>
          <w:szCs w:val="22"/>
        </w:rPr>
        <w:t xml:space="preserve">March 22, 2026</w:t>
      </w:r>
    </w:p>
    <w:p>
      <w:pPr>
        <w:spacing w:after="60" w:before="60"/>
      </w:pPr>
      <w:r>
        <w:rPr>
          <w:rFonts w:ascii="Arial" w:cs="Arial" w:eastAsia="Arial" w:hAnsi="Arial"/>
          <w:b/>
          <w:bCs/>
          <w:sz w:val="22"/>
          <w:szCs w:val="22"/>
        </w:rPr>
        <w:t xml:space="preserve">Founded: </w:t>
      </w:r>
      <w:r>
        <w:rPr>
          <w:rFonts w:ascii="Arial" w:cs="Arial" w:eastAsia="Arial" w:hAnsi="Arial"/>
          <w:sz w:val="22"/>
          <w:szCs w:val="22"/>
        </w:rPr>
        <w:t xml:space="preserve">April 2024</w:t>
      </w:r>
    </w:p>
    <w:p>
      <w:pPr>
        <w:spacing w:after="60" w:before="60"/>
      </w:pPr>
      <w:r>
        <w:rPr>
          <w:rFonts w:ascii="Arial" w:cs="Arial" w:eastAsia="Arial" w:hAnsi="Arial"/>
          <w:b/>
          <w:bCs/>
          <w:sz w:val="22"/>
          <w:szCs w:val="22"/>
        </w:rPr>
        <w:t xml:space="preserve">TechGroup Theme: </w:t>
      </w:r>
      <w:r>
        <w:rPr>
          <w:rFonts w:ascii="Arial" w:cs="Arial" w:eastAsia="Arial" w:hAnsi="Arial"/>
          <w:sz w:val="22"/>
          <w:szCs w:val="22"/>
        </w:rPr>
        <w:t xml:space="preserve">Theme 3 — WorkTech &amp; Vertical Enterprise OS</w:t>
      </w:r>
    </w:p>
    <w:p>
      <w:pPr>
        <w:spacing w:after="60" w:before="60"/>
      </w:pPr>
      <w:r>
        <w:rPr>
          <w:rFonts w:ascii="Arial" w:cs="Arial" w:eastAsia="Arial" w:hAnsi="Arial"/>
          <w:b/>
          <w:bCs/>
          <w:sz w:val="22"/>
          <w:szCs w:val="22"/>
        </w:rPr>
        <w:t xml:space="preserve">Pipeline Stage: </w:t>
      </w:r>
      <w:r>
        <w:rPr>
          <w:rFonts w:ascii="Arial" w:cs="Arial" w:eastAsia="Arial" w:hAnsi="Arial"/>
          <w:sz w:val="22"/>
          <w:szCs w:val="22"/>
        </w:rPr>
        <w:t xml:space="preserve">DD Report → Decision</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Synergist Technology is the developer of AFFIRM, an AI-powered AIOps platform designed to automate IT operations monitoring, incident detection, anomaly resolution, and compliance reporting for federal agencies and large enterprise IT teams. AFFIRM ingests telemetry from multi-cloud and hybrid environments, applies machine learning models to surface anomalies and recommended actions, and integrates natively with ServiceNow ITSM workflows. The company is distributed through a channel-first model anchored by CDW — which has built a branded "CDW AI Model Managed Services" product powered by AFFIRM — with additional federal coverage through Carahsoft contract vehicles (Army ITES-SW2, GSA MAS, NASA SEWP, DoE ICPT). Synergist raised a SAFE I seed round ($5M per press) and is currently raising a SAFE II with a $3.5M issuance limit and $33.5M post-money cap. The current entity structure is LLC — conversion to C-Corp is required before any NWAi investment can close.</w:t>
      </w:r>
    </w:p>
    <w:p>
      <w:pPr>
        <w:pBdr>
          <w:bottom w:val="single" w:color="999999" w:sz="6" w:space="1"/>
        </w:pBdr>
        <w:spacing w:after="160" w:before="160"/>
      </w:pPr>
    </w:p>
    <w:p>
      <w:pPr>
        <w:spacing w:after="120" w:before="240"/>
      </w:pPr>
      <w:r>
        <w:rPr>
          <w:rFonts w:ascii="Arial" w:cs="Arial" w:eastAsia="Arial" w:hAnsi="Arial"/>
          <w:b/>
          <w:bCs/>
          <w:sz w:val="28"/>
          <w:szCs w:val="28"/>
        </w:rPr>
        <w:t xml:space="preserve">Section 1 — The Problem / Market Opportunity</w:t>
      </w:r>
    </w:p>
    <w:p>
      <w:pPr>
        <w:spacing w:after="80" w:before="80"/>
      </w:pPr>
      <w:r>
        <w:rPr>
          <w:rFonts w:ascii="Arial" w:cs="Arial" w:eastAsia="Arial" w:hAnsi="Arial"/>
          <w:sz w:val="22"/>
          <w:szCs w:val="22"/>
        </w:rPr>
        <w:t xml:space="preserve">The problem Synergist addresses is both genuine and urgent: enterprise and federal IT operations teams managing multi-cloud and hybrid AI deployments lack automated, audit-ready governance tools to detect anomalies, enforce policy, and satisfy regulatory requirements in real time. The market timing is exceptionally strong — Gartner validates the AI governance market at $492M in 2026 growing to $1B+ by 2030 at &gt;20% CAGR, and the broader AIOps adjacency expands the SAM to approximately $1B in US federal and enterprise IT operations. All five NWAi timing triggers are present: AI adoption wave reaching critical mass (75%+ enterprise penetration), federal IT modernization mandates creating procurement pull, FedRAMP compliance requirements opening a defined federal market, ServiceNow ecosystem maturity providing a distribution channel, and cost reduction pressure on IT ops teams accelerating purchase decisions. This is a mandatory compliance category driven by external regulation — not discretionary IT spend — which structurally de-risks adoption risk compared to novel technology markets. The bottoms-up SAM estimate (~5,000 US federal agencies and large enterprises × $200K average AIOps spend = ~$1B) is consistent with the company's stated TAM; no inflation flag triggered.</w:t>
      </w:r>
    </w:p>
    <w:p>
      <w:pPr>
        <w:spacing w:after="120" w:before="120"/>
      </w:pPr>
      <w:r>
        <w:rPr>
          <w:rFonts w:ascii="Arial" w:cs="Arial" w:eastAsia="Arial" w:hAnsi="Arial"/>
          <w:b/>
          <w:bCs/>
          <w:sz w:val="22"/>
          <w:szCs w:val="22"/>
        </w:rPr>
        <w:t xml:space="preserve">Score: 5/5</w:t>
      </w:r>
    </w:p>
    <w:p>
      <w:pPr>
        <w:pBdr>
          <w:bottom w:val="single" w:color="999999" w:sz="6" w:space="1"/>
        </w:pBdr>
        <w:spacing w:after="160" w:before="160"/>
      </w:pPr>
    </w:p>
    <w:p>
      <w:pPr>
        <w:spacing w:after="120" w:before="240"/>
      </w:pPr>
      <w:r>
        <w:rPr>
          <w:rFonts w:ascii="Arial" w:cs="Arial" w:eastAsia="Arial" w:hAnsi="Arial"/>
          <w:b/>
          <w:bCs/>
          <w:sz w:val="28"/>
          <w:szCs w:val="28"/>
        </w:rPr>
        <w:t xml:space="preserve">Section 2 — The Solution &amp; Technology</w:t>
      </w:r>
    </w:p>
    <w:p>
      <w:pPr>
        <w:spacing w:after="80" w:before="80"/>
      </w:pPr>
      <w:r>
        <w:rPr>
          <w:rFonts w:ascii="Arial" w:cs="Arial" w:eastAsia="Arial" w:hAnsi="Arial"/>
          <w:sz w:val="22"/>
          <w:szCs w:val="22"/>
        </w:rPr>
        <w:t xml:space="preserve">AFFIRM's core platform provides continuous AI health monitoring, anomaly detection, drift analysis, policy enforcement, and automated audit reporting. The platform is deployed at TRL 7–8: AFFIRM v1.0 is in production with five paying customers and CDW has built a branded product on top of it — a strong product validation signal. Key technical components include a proprietary normalization engine, an MSP workflow toolkit via ServiceNow ITSM integration, and a regulatory framework integration layer mapping to NIST AI RMF, FedRAMP, EU AI Act, and OMB 25-21. The Tier 1 General Moat scores 3/6: switching costs (accumulated operational telemetry and incident context), regulatory barriers (FedRAMP compliance via Project Hosts ATO inheritance), and vertical specialization (deep federal/enterprise IT ops domain) are present; network effects, proprietary data, and patents are absent. Core evaluator methods (LLMaJ, TFIDF, TokenOverlap) are open-source — the normalization engine, GRC framework mapping layer, and MSP workflow toolkit are the true proprietary elements and represent a Weak-to-Moderate general moat. No patents filed or pending. IP ownership confirmation and formal C-Corp assignment of IP on conversion are required.</w:t>
      </w:r>
    </w:p>
    <w:p>
      <w:pPr>
        <w:spacing w:after="120" w:before="120"/>
      </w:pPr>
      <w:r>
        <w:rPr>
          <w:rFonts w:ascii="Arial" w:cs="Arial" w:eastAsia="Arial" w:hAnsi="Arial"/>
          <w:b/>
          <w:bCs/>
          <w:sz w:val="22"/>
          <w:szCs w:val="22"/>
        </w:rPr>
        <w:t xml:space="preserve">Score: 3/5</w:t>
      </w:r>
    </w:p>
    <w:p>
      <w:pPr>
        <w:pBdr>
          <w:bottom w:val="single" w:color="999999" w:sz="6" w:space="1"/>
        </w:pBdr>
        <w:spacing w:after="160" w:before="160"/>
      </w:pPr>
    </w:p>
    <w:p>
      <w:pPr>
        <w:spacing w:after="120" w:before="240"/>
      </w:pPr>
      <w:r>
        <w:rPr>
          <w:rFonts w:ascii="Arial" w:cs="Arial" w:eastAsia="Arial" w:hAnsi="Arial"/>
          <w:b/>
          <w:bCs/>
          <w:sz w:val="28"/>
          <w:szCs w:val="28"/>
        </w:rPr>
        <w:t xml:space="preserve">Section 3 — AI / Software Moat</w:t>
      </w:r>
    </w:p>
    <w:p>
      <w:pPr>
        <w:spacing w:after="80" w:before="80"/>
      </w:pPr>
      <w:r>
        <w:rPr>
          <w:rFonts w:ascii="Arial" w:cs="Arial" w:eastAsia="Arial" w:hAnsi="Arial"/>
          <w:sz w:val="22"/>
          <w:szCs w:val="22"/>
        </w:rPr>
        <w:t xml:space="preserve">AFFIRM is AI-enabled and warrants Tier 2 AI Moat scoring. Thin wrapper tests: AFFIRM cannot be rebuilt in a weekend — deep ServiceNow workflow integration and multi-cloud telemetry ingestion require substantial integration engineering; value derives from workflow integration and accumulating operational data, not just prompt engineering; customer switching within one week is not feasible given accumulated incident history and rule context. AI Moat Score: 5/10 — Moderate Moat. The Memory Lock-in moat is the primary AI-specific differentiator: customer-specific incident history, workflow rules, anomaly baselines, and AI health trend data accumulate over time and cannot be migrated to a competitor without meaningful operational loss. The Inference Data moat is also present: AFFIRM generates proprietary operational telemetry per customer as it runs. Critical gaps: no proprietary training dataset (2/2 points unclaimed), no custom model training investment (0/1), no proprietary hardware or infrastructure (0/1). The cognitive/data moat is developing but not yet strong — the flywheel strengthens as deployment depth and asset count per customer grow. The FedRAMP compliance layer (1/1) adds a real barrier to new federal entrants, though the inherited ATO via Project Hosts rather than a standalone Synergist authorization is a weaker claim than presented.</w:t>
      </w:r>
    </w:p>
    <w:p>
      <w:pPr>
        <w:spacing w:after="120" w:before="120"/>
      </w:pPr>
      <w:r>
        <w:rPr>
          <w:rFonts w:ascii="Arial" w:cs="Arial" w:eastAsia="Arial" w:hAnsi="Arial"/>
          <w:b/>
          <w:bCs/>
          <w:sz w:val="22"/>
          <w:szCs w:val="22"/>
        </w:rPr>
        <w:t xml:space="preserve">Score: 3/5</w:t>
      </w:r>
    </w:p>
    <w:p>
      <w:pPr>
        <w:pBdr>
          <w:bottom w:val="single" w:color="999999" w:sz="6" w:space="1"/>
        </w:pBdr>
        <w:spacing w:after="160" w:before="160"/>
      </w:pPr>
    </w:p>
    <w:p>
      <w:pPr>
        <w:spacing w:after="120" w:before="240"/>
      </w:pPr>
      <w:r>
        <w:rPr>
          <w:rFonts w:ascii="Arial" w:cs="Arial" w:eastAsia="Arial" w:hAnsi="Arial"/>
          <w:b/>
          <w:bCs/>
          <w:sz w:val="28"/>
          <w:szCs w:val="28"/>
        </w:rPr>
        <w:t xml:space="preserve">Section 4 — Business Model &amp; Target Customers</w:t>
      </w:r>
    </w:p>
    <w:p>
      <w:pPr>
        <w:spacing w:after="80" w:before="80"/>
      </w:pPr>
      <w:r>
        <w:rPr>
          <w:rFonts w:ascii="Arial" w:cs="Arial" w:eastAsia="Arial" w:hAnsi="Arial"/>
          <w:sz w:val="22"/>
          <w:szCs w:val="22"/>
        </w:rPr>
        <w:t xml:space="preserve">Synergist operates a monthly SaaS/PaaS subscription model tiered by number of AI assets monitored, with stated pricing of $7,500 to $52,500+ per customer per month. The target customer segments are federal agencies (via Carahsoft contract vehicles) and large enterprise IT operations teams (via CDW distribution). The CDW channel creates a structural near-zero CAC advantage — CDW's 400-person salesforce sells into its 10,000-customer base at no direct acquisition cost to Synergist; Synergist earns per-customer subscription fees with high gross margin expected for a cloud-native SaaS product. LTV is potentially very high given Memory Lock-in: expanding AI asset counts per customer and accumulated compliance data make churn structurally expensive. The business model is sound in design. However, three pricing-related gaps prevent a higher score: (1) current average contract value of $4,875/month is below the stated $7,500 floor — discounting policy and path to repricing legacy contracts not documented; (2) LTV:CAC ratio has not been formally validated because actual CAC is not disclosed; and (3) contract duration, renewal rates, and ARR composition are not confirmed. The CDW contract structure — revenue share vs. licensing vs. per-deployment — has not been disclosed, which prevents independent modeling of the channel economics.</w:t>
      </w:r>
    </w:p>
    <w:p>
      <w:pPr>
        <w:spacing w:after="120" w:before="120"/>
      </w:pPr>
      <w:r>
        <w:rPr>
          <w:rFonts w:ascii="Arial" w:cs="Arial" w:eastAsia="Arial" w:hAnsi="Arial"/>
          <w:b/>
          <w:bCs/>
          <w:sz w:val="22"/>
          <w:szCs w:val="22"/>
        </w:rPr>
        <w:t xml:space="preserve">Score: 3/5</w:t>
      </w:r>
    </w:p>
    <w:p>
      <w:pPr>
        <w:pBdr>
          <w:bottom w:val="single" w:color="999999" w:sz="6" w:space="1"/>
        </w:pBdr>
        <w:spacing w:after="160" w:before="160"/>
      </w:pPr>
    </w:p>
    <w:p>
      <w:pPr>
        <w:spacing w:after="120" w:before="240"/>
      </w:pPr>
      <w:r>
        <w:rPr>
          <w:rFonts w:ascii="Arial" w:cs="Arial" w:eastAsia="Arial" w:hAnsi="Arial"/>
          <w:b/>
          <w:bCs/>
          <w:sz w:val="28"/>
          <w:szCs w:val="28"/>
        </w:rPr>
        <w:t xml:space="preserve">Section 5 — Customer Pipeline</w:t>
      </w:r>
    </w:p>
    <w:p>
      <w:pPr>
        <w:spacing w:after="80" w:before="80"/>
      </w:pPr>
      <w:r>
        <w:rPr>
          <w:rFonts w:ascii="Arial" w:cs="Arial" w:eastAsia="Arial" w:hAnsi="Arial"/>
          <w:sz w:val="22"/>
          <w:szCs w:val="22"/>
        </w:rPr>
        <w:t xml:space="preserve">Synergist has five paying Q1 2026 customers generating $24,375 in gross revenue — real, if thin, commercial validation. The most important evidence of product-market fit is Tampa General Hospital: the customer started with 5–6 monitored AI assets and expanded to 73 assets within three weeks of deployment, with 10–15 assets being added per quarter — a strong expansion signal that confirms both product utility and the Memory Lock-in dynamic. CDW has activated one end customer in its branded product and projects $10–15M in Synergist revenue for FY2026, though this projection represents CDW's stated target rather than a signed minimum commitment. Federal pipeline coverage includes active Carahsoft contract vehicles across Army ITES-SW2, GSA MAS, NASA SEWP x2, and DoE ICPT via CDWG. Concentration risk is acute: the entire near-term revenue thesis depends on CDW activating its salesforce at projected rates; no alternative channel at comparable scale is identified. A direct CDW reference call confirming the pipeline activation timeline and SKU status is a condition precedent to advancing the investment thesis. Current Q1 revenue of $24,375 across 5 customers at sub-floor pricing prevents a higher pipeline score.</w:t>
      </w:r>
    </w:p>
    <w:p>
      <w:pPr>
        <w:spacing w:after="120" w:before="120"/>
      </w:pPr>
      <w:r>
        <w:rPr>
          <w:rFonts w:ascii="Arial" w:cs="Arial" w:eastAsia="Arial" w:hAnsi="Arial"/>
          <w:b/>
          <w:bCs/>
          <w:sz w:val="22"/>
          <w:szCs w:val="22"/>
        </w:rPr>
        <w:t xml:space="preserve">Score: 3/5</w:t>
      </w:r>
    </w:p>
    <w:p>
      <w:pPr>
        <w:pBdr>
          <w:bottom w:val="single" w:color="999999" w:sz="6" w:space="1"/>
        </w:pBdr>
        <w:spacing w:after="160" w:before="160"/>
      </w:pPr>
    </w:p>
    <w:p>
      <w:pPr>
        <w:spacing w:after="120" w:before="240"/>
      </w:pPr>
      <w:r>
        <w:rPr>
          <w:rFonts w:ascii="Arial" w:cs="Arial" w:eastAsia="Arial" w:hAnsi="Arial"/>
          <w:b/>
          <w:bCs/>
          <w:sz w:val="28"/>
          <w:szCs w:val="28"/>
        </w:rPr>
        <w:t xml:space="preserve">Section 6 — Competition</w:t>
      </w:r>
    </w:p>
    <w:p>
      <w:pPr>
        <w:spacing w:after="80" w:before="80"/>
      </w:pPr>
      <w:r>
        <w:rPr>
          <w:rFonts w:ascii="Arial" w:cs="Arial" w:eastAsia="Arial" w:hAnsi="Arial"/>
          <w:sz w:val="22"/>
          <w:szCs w:val="22"/>
        </w:rPr>
        <w:t xml:space="preserve">The AIOps and AI governance market is competitive with multiple well-funded incumbents: ServiceNow (AIOps + ITSM incumbent with deep enterprise workflow integration), Dynatrace (observability and AIOps at scale), Cisco/Splunk (security + IT ops convergence), PagerDuty and Moogsoft (incident management), and BigPanda and OpsRamp/HPE (AIOps automation). The Competitive Risk score is 7/10 — the space is crowded, and the most dangerous threat is not a peer startup but platform giants (Microsoft Purview, ServiceNow, IBM) absorbing AI governance as a native module. AFFIRM's near-term competitive differentiation rests on three elements: the CDW distribution partnership (which creates a branded channel moat that competitors would need to displace, not just replicate), the Carahsoft federal contract vehicle access (a real barrier requiring time and compliance cost to replicate), and the FedRAMP inherited compliance layer (available to competitors via the same Project Hosts path — weaker than claimed). The core evaluator methods are open-source; a well-funded competitor could build equivalent evaluation functionality in 12–18 months with adequate engineering resources. The Memory Lock-in moat deepens over time but has not yet been proven at scale. AFFIRM's competitive position is defensible for the next 18–24 months but requires aggressive CDW activation and platform depth to widen the gap before incumbents respond.</w:t>
      </w:r>
    </w:p>
    <w:p>
      <w:pPr>
        <w:spacing w:after="120" w:before="120"/>
      </w:pPr>
      <w:r>
        <w:rPr>
          <w:rFonts w:ascii="Arial" w:cs="Arial" w:eastAsia="Arial" w:hAnsi="Arial"/>
          <w:b/>
          <w:bCs/>
          <w:sz w:val="22"/>
          <w:szCs w:val="22"/>
        </w:rPr>
        <w:t xml:space="preserve">Score: 3/5</w:t>
      </w:r>
    </w:p>
    <w:p>
      <w:pPr>
        <w:pBdr>
          <w:bottom w:val="single" w:color="999999" w:sz="6" w:space="1"/>
        </w:pBdr>
        <w:spacing w:after="160" w:before="160"/>
      </w:pPr>
    </w:p>
    <w:p>
      <w:pPr>
        <w:spacing w:after="120" w:before="240"/>
      </w:pPr>
      <w:r>
        <w:rPr>
          <w:rFonts w:ascii="Arial" w:cs="Arial" w:eastAsia="Arial" w:hAnsi="Arial"/>
          <w:b/>
          <w:bCs/>
          <w:sz w:val="28"/>
          <w:szCs w:val="28"/>
        </w:rPr>
        <w:t xml:space="preserve">Section 7 — Go to Market Strategy</w:t>
      </w:r>
    </w:p>
    <w:p>
      <w:pPr>
        <w:spacing w:after="80" w:before="80"/>
      </w:pPr>
      <w:r>
        <w:rPr>
          <w:rFonts w:ascii="Arial" w:cs="Arial" w:eastAsia="Arial" w:hAnsi="Arial"/>
          <w:sz w:val="22"/>
          <w:szCs w:val="22"/>
        </w:rPr>
        <w:t xml:space="preserve">Synergist's GTM is channel-first: CDW is the anchor distributor, with Carahsoft covering the federal procurement path. The CDW partnership is structurally advantaged — CDW's branded 'CDW AI Model Managed Services' product is built on AFFIRM, giving Synergist access to CDW's 400-person salesforce and 10,000-customer base without building a direct sales team at scale. The ICP is well-defined: federal agencies and large enterprise IT operations teams with multi-cloud/hybrid deployments and regulatory compliance requirements. The ServiceNow ITSM integration is a distribution mechanism as well as a product feature — reaching buyers through an already-trusted workflow platform. The GTM motion is logical and has produced early traction. However, three constraints prevent a higher score: (1) CDW is the only channel at scale — if CDW de-prioritizes AFFIRM or pivots to a Microsoft-native solution, there is no fallback; (2) no CAC, CPL, or sales cycle length data has been provided, preventing an independent efficiency assessment; and (3) the plan to add +1–2 new MSP partners per quarter has not been operationalized or evidenced. Sales cycle length in federal procurement is inherently long (6–18 months), which creates a significant cash conversion gap between CDW pipeline activation and recognized revenue.</w:t>
      </w:r>
    </w:p>
    <w:p>
      <w:pPr>
        <w:spacing w:after="120" w:before="120"/>
      </w:pPr>
      <w:r>
        <w:rPr>
          <w:rFonts w:ascii="Arial" w:cs="Arial" w:eastAsia="Arial" w:hAnsi="Arial"/>
          <w:b/>
          <w:bCs/>
          <w:sz w:val="22"/>
          <w:szCs w:val="22"/>
        </w:rPr>
        <w:t xml:space="preserve">Score: 3/5</w:t>
      </w:r>
    </w:p>
    <w:p>
      <w:pPr>
        <w:pBdr>
          <w:bottom w:val="single" w:color="999999" w:sz="6" w:space="1"/>
        </w:pBdr>
        <w:spacing w:after="160" w:before="160"/>
      </w:pPr>
    </w:p>
    <w:p>
      <w:pPr>
        <w:spacing w:after="120" w:before="240"/>
      </w:pPr>
      <w:r>
        <w:rPr>
          <w:rFonts w:ascii="Arial" w:cs="Arial" w:eastAsia="Arial" w:hAnsi="Arial"/>
          <w:b/>
          <w:bCs/>
          <w:sz w:val="28"/>
          <w:szCs w:val="28"/>
        </w:rPr>
        <w:t xml:space="preserve">Section 8 — Team &amp; Execution</w:t>
      </w:r>
    </w:p>
    <w:p>
      <w:pPr>
        <w:spacing w:after="80" w:before="80"/>
      </w:pPr>
      <w:r>
        <w:rPr>
          <w:rFonts w:ascii="Arial" w:cs="Arial" w:eastAsia="Arial" w:hAnsi="Arial"/>
          <w:sz w:val="22"/>
          <w:szCs w:val="22"/>
        </w:rPr>
        <w:t xml:space="preserve">Brad Levine (CEO) brings 30 years of compliance software domain experience and four exits generating $180M+ in aggregate shareholder value — the most recent being Telus Healthcare, a directly relevant enterprise compliance platform exit. His pattern-match to this deal is unusually precise: he built and sold compliance software businesses before, and AFFIRM is positioned as a mandatory compliance layer for AI. The full executive team includes Dennis Boyle (COO), Andrii Dimarov (SVP Technology — 15 years experience, Azure-certified, resolves the prior 'no CTO' flag), Mark Bortman (SVP Sales), and Andrea Parado (SVP Delivery); all appear full-time. Ron Nicol serves as outside director. The advisory board is genuinely exceptional by quality: Vice Admiral Sean Buck (Navy/DOD), Lt. Gen. Rick Moore (USAF), Anil Cheriyan (PWC/IBM), Vishal Amin (Microsoft/Bush Center), and Tim Clyde (CACI/L3T) — representing direct relationships in the federal and enterprise channels the company is targeting. The Execution Risk score of 6/10 reflects two latent concerns: (1) Brad Levine explicitly stated intent to exit post-Series A (~2 years from raise) — the succession plan is undocumented and no named next CEO is identified; and (2) key-person dependency on Brad Levine for the CDW and advisory relationships is real. The company is well-staffed for its current stage but has not yet demonstrated execution at the $5M+ ARR level.</w:t>
      </w:r>
    </w:p>
    <w:p>
      <w:pPr>
        <w:spacing w:after="120" w:before="120"/>
      </w:pPr>
      <w:r>
        <w:rPr>
          <w:rFonts w:ascii="Arial" w:cs="Arial" w:eastAsia="Arial" w:hAnsi="Arial"/>
          <w:b/>
          <w:bCs/>
          <w:sz w:val="22"/>
          <w:szCs w:val="22"/>
        </w:rPr>
        <w:t xml:space="preserve">Score: 3/5</w:t>
      </w:r>
    </w:p>
    <w:p>
      <w:pPr>
        <w:pBdr>
          <w:bottom w:val="single" w:color="999999" w:sz="6" w:space="1"/>
        </w:pBdr>
        <w:spacing w:after="160" w:before="160"/>
      </w:pPr>
    </w:p>
    <w:p>
      <w:pPr>
        <w:spacing w:after="120" w:before="240"/>
      </w:pPr>
      <w:r>
        <w:rPr>
          <w:rFonts w:ascii="Arial" w:cs="Arial" w:eastAsia="Arial" w:hAnsi="Arial"/>
          <w:b/>
          <w:bCs/>
          <w:sz w:val="28"/>
          <w:szCs w:val="28"/>
        </w:rPr>
        <w:t xml:space="preserve">Section 9 — Funding &amp; Deal Terms</w:t>
      </w:r>
    </w:p>
    <w:p>
      <w:pPr>
        <w:spacing w:after="80" w:before="80"/>
      </w:pPr>
      <w:r>
        <w:rPr>
          <w:rFonts w:ascii="Arial" w:cs="Arial" w:eastAsia="Arial" w:hAnsi="Arial"/>
          <w:sz w:val="22"/>
          <w:szCs w:val="22"/>
        </w:rPr>
        <w:t xml:space="preserve">The current round is structured as a SAFE II with a $3.5M issuance limit, $33.5M post-money valuation cap, and $3.98 conversion price. NWAi investment criteria require equity or convertible debt — SAFE is not an acceptable structure. This is the primary structural gate issue. The entity structure is Synergist Technology, LLC with Membership Units — NWAi requires C-Corp structure exclusively. Conversion to C-Corp before investment close is a non-negotiable condition. At the Scout stage, Brad Levine verbally confirmed 'we will not do a SAFE with you' — indicating willingness to offer a convertible note on parallel terms — but this has not been confirmed in writing. No institutional lead investor has been identified for the SAFE II round; NWAi rarely leads. Cap table review was conducted (synergist-technology-llc_2026-03-10 cap table xlsx): Brad Levine and Dennis Boyle are primary founders; Ron Nicol is outside director; SAFE I investors are on the cap table. Option pool adequacy unverified. The CIBC line of credit (secured against ARR) is a positive institutional validation signal. The $33.5M post-money cap represents a premium valuation given $24K Q1 revenue — justified only if the CDW channel ramp materializes at the projected pace. NWAi's proposed check size and liquidation preference terms have not been negotiated and are marked [TO BE CONFIRMED] pending round restructure.</w:t>
      </w:r>
    </w:p>
    <w:p>
      <w:pPr>
        <w:spacing w:after="120" w:before="120"/>
      </w:pPr>
      <w:r>
        <w:rPr>
          <w:rFonts w:ascii="Arial" w:cs="Arial" w:eastAsia="Arial" w:hAnsi="Arial"/>
          <w:b/>
          <w:bCs/>
          <w:sz w:val="22"/>
          <w:szCs w:val="22"/>
        </w:rPr>
        <w:t xml:space="preserve">Score: 2/5</w:t>
      </w:r>
    </w:p>
    <w:p>
      <w:pPr>
        <w:pBdr>
          <w:bottom w:val="single" w:color="999999" w:sz="6" w:space="1"/>
        </w:pBdr>
        <w:spacing w:after="160" w:before="160"/>
      </w:pPr>
    </w:p>
    <w:p>
      <w:pPr>
        <w:spacing w:after="120" w:before="240"/>
      </w:pPr>
      <w:r>
        <w:rPr>
          <w:rFonts w:ascii="Arial" w:cs="Arial" w:eastAsia="Arial" w:hAnsi="Arial"/>
          <w:b/>
          <w:bCs/>
          <w:sz w:val="28"/>
          <w:szCs w:val="28"/>
        </w:rPr>
        <w:t xml:space="preserve">Section 10 — Financials &amp; Runway</w:t>
      </w:r>
    </w:p>
    <w:p>
      <w:pPr>
        <w:spacing w:after="80" w:before="200"/>
      </w:pPr>
      <w:r>
        <w:rPr>
          <w:rFonts w:ascii="Arial" w:cs="Arial" w:eastAsia="Arial" w:hAnsi="Arial"/>
          <w:b/>
          <w:bCs/>
          <w:sz w:val="24"/>
          <w:szCs w:val="24"/>
        </w:rPr>
        <w:t xml:space="preserve">Financials</w:t>
      </w:r>
    </w:p>
    <w:p>
      <w:pPr>
        <w:spacing w:after="80" w:before="80"/>
      </w:pPr>
      <w:r>
        <w:rPr>
          <w:rFonts w:ascii="Arial" w:cs="Arial" w:eastAsia="Arial" w:hAnsi="Arial"/>
          <w:sz w:val="22"/>
          <w:szCs w:val="22"/>
        </w:rPr>
        <w:t xml:space="preserve">Q1 2026 actual gross revenue: $24,375 across 5 customers ($4,875 average/customer/month, below the $7,500 stated floor). FY2026 budgeted revenue: $1,350,690 — implying $1.35M ARR target by year-end, requiring aggressive CDW-driven ramp from the Q1 base. A material discrepancy exists between the pitch deck Q1 figure ($24,375) and the budget xlsx Q1 figure ($1,530); this must be reconciled with audited monthly revenue records before the financial model is finalized. Gross margin is not confirmed; assumed high (&gt;70%) for a cloud-native SaaS platform. Burn rate and current cash position are not disclosed — runway is marked [TO BE CONFIRMED]. The CIBC credit line is confirmed secured against ARR but draw terms and current availability are not provided. Historical financials (2024–2025) have not been provided. No prior-year tax returns in the data room.</w:t>
      </w:r>
    </w:p>
    <w:p>
      <w:pPr>
        <w:spacing w:after="80" w:before="200"/>
      </w:pPr>
      <w:r>
        <w:rPr>
          <w:rFonts w:ascii="Arial" w:cs="Arial" w:eastAsia="Arial" w:hAnsi="Arial"/>
          <w:b/>
          <w:bCs/>
          <w:sz w:val="24"/>
          <w:szCs w:val="24"/>
        </w:rPr>
        <w:t xml:space="preserve">Use of Capital</w:t>
      </w:r>
    </w:p>
    <w:p>
      <w:pPr>
        <w:spacing w:after="80" w:before="80"/>
      </w:pPr>
      <w:r>
        <w:rPr>
          <w:rFonts w:ascii="Arial" w:cs="Arial" w:eastAsia="Arial" w:hAnsi="Arial"/>
          <w:sz w:val="22"/>
          <w:szCs w:val="22"/>
        </w:rPr>
        <w:t xml:space="preserve">The $3.5M SAFE II raise does not include a formal use-of-capital breakdown in the reviewed data room materials. Based on the company's stated priorities and stage, the anticipated allocation is as follows — [TO BE CONFIRMED] with Brad Levine:</w:t>
      </w:r>
    </w:p>
    <w:p>
      <w:pPr>
        <w:pStyle w:val="ListParagraph"/>
        <w:numPr>
          <w:ilvl w:val="0"/>
          <w:numId w:val="1"/>
        </w:numPr>
        <w:spacing w:after="40" w:before="40"/>
      </w:pPr>
      <w:r>
        <w:rPr>
          <w:rFonts w:ascii="Arial" w:cs="Arial" w:eastAsia="Arial" w:hAnsi="Arial"/>
          <w:sz w:val="22"/>
          <w:szCs w:val="22"/>
        </w:rPr>
        <w:t xml:space="preserve">Sales &amp; Channel Expansion: ~$1.2M — CDW co-sell activation, +2 MSP partners, sales team build-out</w:t>
      </w:r>
    </w:p>
    <w:p>
      <w:pPr>
        <w:pStyle w:val="ListParagraph"/>
        <w:numPr>
          <w:ilvl w:val="0"/>
          <w:numId w:val="1"/>
        </w:numPr>
        <w:spacing w:after="40" w:before="40"/>
      </w:pPr>
      <w:r>
        <w:rPr>
          <w:rFonts w:ascii="Arial" w:cs="Arial" w:eastAsia="Arial" w:hAnsi="Arial"/>
          <w:sz w:val="22"/>
          <w:szCs w:val="22"/>
        </w:rPr>
        <w:t xml:space="preserve">Engineering &amp; Product: ~$900K — Evaluator library expansion, custom model capability, FedRAMP standalone authorization path</w:t>
      </w:r>
    </w:p>
    <w:p>
      <w:pPr>
        <w:pStyle w:val="ListParagraph"/>
        <w:numPr>
          <w:ilvl w:val="0"/>
          <w:numId w:val="1"/>
        </w:numPr>
        <w:spacing w:after="40" w:before="40"/>
      </w:pPr>
      <w:r>
        <w:rPr>
          <w:rFonts w:ascii="Arial" w:cs="Arial" w:eastAsia="Arial" w:hAnsi="Arial"/>
          <w:sz w:val="22"/>
          <w:szCs w:val="22"/>
        </w:rPr>
        <w:t xml:space="preserve">Customer Success &amp; Delivery: ~$500K — Onboarding and expansion capability for CDW-sourced customers</w:t>
      </w:r>
    </w:p>
    <w:p>
      <w:pPr>
        <w:pStyle w:val="ListParagraph"/>
        <w:numPr>
          <w:ilvl w:val="0"/>
          <w:numId w:val="1"/>
        </w:numPr>
        <w:spacing w:after="40" w:before="40"/>
      </w:pPr>
      <w:r>
        <w:rPr>
          <w:rFonts w:ascii="Arial" w:cs="Arial" w:eastAsia="Arial" w:hAnsi="Arial"/>
          <w:sz w:val="22"/>
          <w:szCs w:val="22"/>
        </w:rPr>
        <w:t xml:space="preserve">G&amp;A / Legal (C-Corp conversion): ~$400K — Entity conversion legal, compliance infrastructure</w:t>
      </w:r>
    </w:p>
    <w:p>
      <w:pPr>
        <w:pStyle w:val="ListParagraph"/>
        <w:numPr>
          <w:ilvl w:val="0"/>
          <w:numId w:val="1"/>
        </w:numPr>
        <w:spacing w:after="40" w:before="40"/>
      </w:pPr>
      <w:r>
        <w:rPr>
          <w:rFonts w:ascii="Arial" w:cs="Arial" w:eastAsia="Arial" w:hAnsi="Arial"/>
          <w:sz w:val="22"/>
          <w:szCs w:val="22"/>
        </w:rPr>
        <w:t xml:space="preserve">Working Capital Reserve: ~$500K — Bridge to Series A close (Q4 2026 / Q1 2027)</w:t>
      </w:r>
    </w:p>
    <w:p>
      <w:pPr>
        <w:spacing w:after="80" w:before="80"/>
      </w:pPr>
      <w:r>
        <w:rPr>
          <w:rFonts w:ascii="Arial" w:cs="Arial" w:eastAsia="Arial" w:hAnsi="Arial"/>
          <w:b/>
          <w:bCs/>
          <w:sz w:val="22"/>
          <w:szCs w:val="22"/>
        </w:rPr>
        <w:t xml:space="preserve">Total: $3.5M — [Allocation TO BE CONFIRMED with management]</w:t>
      </w:r>
    </w:p>
    <w:p>
      <w:pPr>
        <w:spacing w:after="80" w:before="80"/>
      </w:pPr>
      <w:r>
        <w:rPr>
          <w:rFonts w:ascii="Arial" w:cs="Arial" w:eastAsia="Arial" w:hAnsi="Arial"/>
          <w:sz w:val="22"/>
          <w:szCs w:val="22"/>
        </w:rPr>
        <w:t xml:space="preserve">Critical milestone this raise must fund: reaching $1M+ ARR before Series A launch (target Q4 2026 at $50M pre-money). The raise is sized to reach this milestone only if CDW activates at projected rates.</w:t>
      </w:r>
    </w:p>
    <w:p>
      <w:pPr>
        <w:spacing w:after="80" w:before="200"/>
      </w:pPr>
      <w:r>
        <w:rPr>
          <w:rFonts w:ascii="Arial" w:cs="Arial" w:eastAsia="Arial" w:hAnsi="Arial"/>
          <w:b/>
          <w:bCs/>
          <w:sz w:val="24"/>
          <w:szCs w:val="24"/>
        </w:rPr>
        <w:t xml:space="preserve">Pro Forma — Bear / Base / Bull (NWAi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100"/>
        <w:gridCol w:w="1100"/>
        <w:gridCol w:w="1100"/>
        <w:gridCol w:w="1100"/>
        <w:gridCol w:w="1100"/>
        <w:gridCol w:w="1300"/>
      </w:tblGrid>
      <w:tr>
        <w:tc>
          <w:tcPr>
            <w:tcW w:type="dxa" w:w="1560"/>
            <w:shd w:fill="D9D9D9" w:color="auto" w:val="clear"/>
          </w:tcPr>
          <w:p>
            <w:r>
              <w:rPr>
                <w:rFonts w:ascii="Arial" w:cs="Arial" w:eastAsia="Arial" w:hAnsi="Arial"/>
                <w:b/>
                <w:bCs/>
                <w:sz w:val="20"/>
                <w:szCs w:val="20"/>
              </w:rPr>
              <w:t xml:space="preserve">Scenario</w:t>
            </w:r>
          </w:p>
        </w:tc>
        <w:tc>
          <w:tcPr>
            <w:tcW w:type="dxa" w:w="1100"/>
            <w:shd w:fill="D9D9D9" w:color="auto" w:val="clear"/>
          </w:tcPr>
          <w:p>
            <w:r>
              <w:rPr>
                <w:rFonts w:ascii="Arial" w:cs="Arial" w:eastAsia="Arial" w:hAnsi="Arial"/>
                <w:b/>
                <w:bCs/>
                <w:sz w:val="20"/>
                <w:szCs w:val="20"/>
              </w:rPr>
              <w:t xml:space="preserve">Year 1</w:t>
            </w:r>
          </w:p>
        </w:tc>
        <w:tc>
          <w:tcPr>
            <w:tcW w:type="dxa" w:w="1100"/>
            <w:shd w:fill="D9D9D9" w:color="auto" w:val="clear"/>
          </w:tcPr>
          <w:p>
            <w:r>
              <w:rPr>
                <w:rFonts w:ascii="Arial" w:cs="Arial" w:eastAsia="Arial" w:hAnsi="Arial"/>
                <w:b/>
                <w:bCs/>
                <w:sz w:val="20"/>
                <w:szCs w:val="20"/>
              </w:rPr>
              <w:t xml:space="preserve">Year 2</w:t>
            </w:r>
          </w:p>
        </w:tc>
        <w:tc>
          <w:tcPr>
            <w:tcW w:type="dxa" w:w="1100"/>
            <w:shd w:fill="D9D9D9" w:color="auto" w:val="clear"/>
          </w:tcPr>
          <w:p>
            <w:r>
              <w:rPr>
                <w:rFonts w:ascii="Arial" w:cs="Arial" w:eastAsia="Arial" w:hAnsi="Arial"/>
                <w:b/>
                <w:bCs/>
                <w:sz w:val="20"/>
                <w:szCs w:val="20"/>
              </w:rPr>
              <w:t xml:space="preserve">Year 3</w:t>
            </w:r>
          </w:p>
        </w:tc>
        <w:tc>
          <w:tcPr>
            <w:tcW w:type="dxa" w:w="1100"/>
            <w:shd w:fill="D9D9D9" w:color="auto" w:val="clear"/>
          </w:tcPr>
          <w:p>
            <w:r>
              <w:rPr>
                <w:rFonts w:ascii="Arial" w:cs="Arial" w:eastAsia="Arial" w:hAnsi="Arial"/>
                <w:b/>
                <w:bCs/>
                <w:sz w:val="20"/>
                <w:szCs w:val="20"/>
              </w:rPr>
              <w:t xml:space="preserve">Year 4</w:t>
            </w:r>
          </w:p>
        </w:tc>
        <w:tc>
          <w:tcPr>
            <w:tcW w:type="dxa" w:w="1100"/>
            <w:shd w:fill="D9D9D9" w:color="auto" w:val="clear"/>
          </w:tcPr>
          <w:p>
            <w:r>
              <w:rPr>
                <w:rFonts w:ascii="Arial" w:cs="Arial" w:eastAsia="Arial" w:hAnsi="Arial"/>
                <w:b/>
                <w:bCs/>
                <w:sz w:val="20"/>
                <w:szCs w:val="20"/>
              </w:rPr>
              <w:t xml:space="preserve">Year 5</w:t>
            </w:r>
          </w:p>
        </w:tc>
        <w:tc>
          <w:tcPr>
            <w:tcW w:type="dxa" w:w="1300"/>
            <w:shd w:fill="D9D9D9" w:color="auto" w:val="clear"/>
          </w:tcPr>
          <w:p>
            <w:r>
              <w:rPr>
                <w:rFonts w:ascii="Arial" w:cs="Arial" w:eastAsia="Arial" w:hAnsi="Arial"/>
                <w:b/>
                <w:bCs/>
                <w:sz w:val="20"/>
                <w:szCs w:val="20"/>
              </w:rPr>
              <w:t xml:space="preserve">Exit Value (10x Rev)</w:t>
            </w:r>
          </w:p>
        </w:tc>
      </w:tr>
      <w:tr>
        <w:tc>
          <w:tcPr>
            <w:tcW w:type="dxa" w:w="1560"/>
          </w:tcPr>
          <w:p>
            <w:r>
              <w:rPr>
                <w:rFonts w:ascii="Arial" w:cs="Arial" w:eastAsia="Arial" w:hAnsi="Arial"/>
                <w:sz w:val="20"/>
                <w:szCs w:val="20"/>
              </w:rPr>
              <w:t xml:space="preserve">Bear (20–40% YoY)</w:t>
            </w:r>
          </w:p>
        </w:tc>
        <w:tc>
          <w:tcPr>
            <w:tcW w:type="dxa" w:w="1100"/>
          </w:tcPr>
          <w:p>
            <w:r>
              <w:rPr>
                <w:rFonts w:ascii="Arial" w:cs="Arial" w:eastAsia="Arial" w:hAnsi="Arial"/>
                <w:sz w:val="20"/>
                <w:szCs w:val="20"/>
              </w:rPr>
              <w:t xml:space="preserve">$540K</w:t>
            </w:r>
          </w:p>
        </w:tc>
        <w:tc>
          <w:tcPr>
            <w:tcW w:type="dxa" w:w="1100"/>
          </w:tcPr>
          <w:p>
            <w:r>
              <w:rPr>
                <w:rFonts w:ascii="Arial" w:cs="Arial" w:eastAsia="Arial" w:hAnsi="Arial"/>
                <w:sz w:val="20"/>
                <w:szCs w:val="20"/>
              </w:rPr>
              <w:t xml:space="preserve">$756K</w:t>
            </w:r>
          </w:p>
        </w:tc>
        <w:tc>
          <w:tcPr>
            <w:tcW w:type="dxa" w:w="1100"/>
          </w:tcPr>
          <w:p>
            <w:r>
              <w:rPr>
                <w:rFonts w:ascii="Arial" w:cs="Arial" w:eastAsia="Arial" w:hAnsi="Arial"/>
                <w:sz w:val="20"/>
                <w:szCs w:val="20"/>
              </w:rPr>
              <w:t xml:space="preserve">$1.1M</w:t>
            </w:r>
          </w:p>
        </w:tc>
        <w:tc>
          <w:tcPr>
            <w:tcW w:type="dxa" w:w="1100"/>
          </w:tcPr>
          <w:p>
            <w:r>
              <w:rPr>
                <w:rFonts w:ascii="Arial" w:cs="Arial" w:eastAsia="Arial" w:hAnsi="Arial"/>
                <w:sz w:val="20"/>
                <w:szCs w:val="20"/>
              </w:rPr>
              <w:t xml:space="preserve">$1.5M</w:t>
            </w:r>
          </w:p>
        </w:tc>
        <w:tc>
          <w:tcPr>
            <w:tcW w:type="dxa" w:w="1100"/>
          </w:tcPr>
          <w:p>
            <w:r>
              <w:rPr>
                <w:rFonts w:ascii="Arial" w:cs="Arial" w:eastAsia="Arial" w:hAnsi="Arial"/>
                <w:sz w:val="20"/>
                <w:szCs w:val="20"/>
              </w:rPr>
              <w:t xml:space="preserve">$2.2M</w:t>
            </w:r>
          </w:p>
        </w:tc>
        <w:tc>
          <w:tcPr>
            <w:tcW w:type="dxa" w:w="1300"/>
          </w:tcPr>
          <w:p>
            <w:r>
              <w:rPr>
                <w:rFonts w:ascii="Arial" w:cs="Arial" w:eastAsia="Arial" w:hAnsi="Arial"/>
                <w:sz w:val="20"/>
                <w:szCs w:val="20"/>
              </w:rPr>
              <w:t xml:space="preserve">~$22M</w:t>
            </w:r>
          </w:p>
        </w:tc>
      </w:tr>
      <w:tr>
        <w:tc>
          <w:tcPr>
            <w:tcW w:type="dxa" w:w="1560"/>
          </w:tcPr>
          <w:p>
            <w:r>
              <w:rPr>
                <w:rFonts w:ascii="Arial" w:cs="Arial" w:eastAsia="Arial" w:hAnsi="Arial"/>
                <w:sz w:val="20"/>
                <w:szCs w:val="20"/>
              </w:rPr>
              <w:t xml:space="preserve">Base (50–100% YoY)</w:t>
            </w:r>
          </w:p>
        </w:tc>
        <w:tc>
          <w:tcPr>
            <w:tcW w:type="dxa" w:w="1100"/>
          </w:tcPr>
          <w:p>
            <w:r>
              <w:rPr>
                <w:rFonts w:ascii="Arial" w:cs="Arial" w:eastAsia="Arial" w:hAnsi="Arial"/>
                <w:sz w:val="20"/>
                <w:szCs w:val="20"/>
              </w:rPr>
              <w:t xml:space="preserve">$1.35M</w:t>
            </w:r>
          </w:p>
        </w:tc>
        <w:tc>
          <w:tcPr>
            <w:tcW w:type="dxa" w:w="1100"/>
          </w:tcPr>
          <w:p>
            <w:r>
              <w:rPr>
                <w:rFonts w:ascii="Arial" w:cs="Arial" w:eastAsia="Arial" w:hAnsi="Arial"/>
                <w:sz w:val="20"/>
                <w:szCs w:val="20"/>
              </w:rPr>
              <w:t xml:space="preserve">$2.4M</w:t>
            </w:r>
          </w:p>
        </w:tc>
        <w:tc>
          <w:tcPr>
            <w:tcW w:type="dxa" w:w="1100"/>
          </w:tcPr>
          <w:p>
            <w:r>
              <w:rPr>
                <w:rFonts w:ascii="Arial" w:cs="Arial" w:eastAsia="Arial" w:hAnsi="Arial"/>
                <w:sz w:val="20"/>
                <w:szCs w:val="20"/>
              </w:rPr>
              <w:t xml:space="preserve">$4.5M</w:t>
            </w:r>
          </w:p>
        </w:tc>
        <w:tc>
          <w:tcPr>
            <w:tcW w:type="dxa" w:w="1100"/>
          </w:tcPr>
          <w:p>
            <w:r>
              <w:rPr>
                <w:rFonts w:ascii="Arial" w:cs="Arial" w:eastAsia="Arial" w:hAnsi="Arial"/>
                <w:sz w:val="20"/>
                <w:szCs w:val="20"/>
              </w:rPr>
              <w:t xml:space="preserve">$7.0M</w:t>
            </w:r>
          </w:p>
        </w:tc>
        <w:tc>
          <w:tcPr>
            <w:tcW w:type="dxa" w:w="1100"/>
          </w:tcPr>
          <w:p>
            <w:r>
              <w:rPr>
                <w:rFonts w:ascii="Arial" w:cs="Arial" w:eastAsia="Arial" w:hAnsi="Arial"/>
                <w:sz w:val="20"/>
                <w:szCs w:val="20"/>
              </w:rPr>
              <w:t xml:space="preserve">$10M</w:t>
            </w:r>
          </w:p>
        </w:tc>
        <w:tc>
          <w:tcPr>
            <w:tcW w:type="dxa" w:w="1300"/>
          </w:tcPr>
          <w:p>
            <w:r>
              <w:rPr>
                <w:rFonts w:ascii="Arial" w:cs="Arial" w:eastAsia="Arial" w:hAnsi="Arial"/>
                <w:sz w:val="20"/>
                <w:szCs w:val="20"/>
              </w:rPr>
              <w:t xml:space="preserve">~$100M</w:t>
            </w:r>
          </w:p>
        </w:tc>
      </w:tr>
      <w:tr>
        <w:tc>
          <w:tcPr>
            <w:tcW w:type="dxa" w:w="1560"/>
          </w:tcPr>
          <w:p>
            <w:r>
              <w:rPr>
                <w:rFonts w:ascii="Arial" w:cs="Arial" w:eastAsia="Arial" w:hAnsi="Arial"/>
                <w:sz w:val="20"/>
                <w:szCs w:val="20"/>
              </w:rPr>
              <w:t xml:space="preserve">Bull (100–200% YoY)</w:t>
            </w:r>
          </w:p>
        </w:tc>
        <w:tc>
          <w:tcPr>
            <w:tcW w:type="dxa" w:w="1100"/>
          </w:tcPr>
          <w:p>
            <w:r>
              <w:rPr>
                <w:rFonts w:ascii="Arial" w:cs="Arial" w:eastAsia="Arial" w:hAnsi="Arial"/>
                <w:sz w:val="20"/>
                <w:szCs w:val="20"/>
              </w:rPr>
              <w:t xml:space="preserve">$2.0M</w:t>
            </w:r>
          </w:p>
        </w:tc>
        <w:tc>
          <w:tcPr>
            <w:tcW w:type="dxa" w:w="1100"/>
          </w:tcPr>
          <w:p>
            <w:r>
              <w:rPr>
                <w:rFonts w:ascii="Arial" w:cs="Arial" w:eastAsia="Arial" w:hAnsi="Arial"/>
                <w:sz w:val="20"/>
                <w:szCs w:val="20"/>
              </w:rPr>
              <w:t xml:space="preserve">$5.0M</w:t>
            </w:r>
          </w:p>
        </w:tc>
        <w:tc>
          <w:tcPr>
            <w:tcW w:type="dxa" w:w="1100"/>
          </w:tcPr>
          <w:p>
            <w:r>
              <w:rPr>
                <w:rFonts w:ascii="Arial" w:cs="Arial" w:eastAsia="Arial" w:hAnsi="Arial"/>
                <w:sz w:val="20"/>
                <w:szCs w:val="20"/>
              </w:rPr>
              <w:t xml:space="preserve">$12M</w:t>
            </w:r>
          </w:p>
        </w:tc>
        <w:tc>
          <w:tcPr>
            <w:tcW w:type="dxa" w:w="1100"/>
          </w:tcPr>
          <w:p>
            <w:r>
              <w:rPr>
                <w:rFonts w:ascii="Arial" w:cs="Arial" w:eastAsia="Arial" w:hAnsi="Arial"/>
                <w:sz w:val="20"/>
                <w:szCs w:val="20"/>
              </w:rPr>
              <w:t xml:space="preserve">$25M</w:t>
            </w:r>
          </w:p>
        </w:tc>
        <w:tc>
          <w:tcPr>
            <w:tcW w:type="dxa" w:w="1100"/>
          </w:tcPr>
          <w:p>
            <w:r>
              <w:rPr>
                <w:rFonts w:ascii="Arial" w:cs="Arial" w:eastAsia="Arial" w:hAnsi="Arial"/>
                <w:sz w:val="20"/>
                <w:szCs w:val="20"/>
              </w:rPr>
              <w:t xml:space="preserve">$40M+</w:t>
            </w:r>
          </w:p>
        </w:tc>
        <w:tc>
          <w:tcPr>
            <w:tcW w:type="dxa" w:w="1300"/>
          </w:tcPr>
          <w:p>
            <w:r>
              <w:rPr>
                <w:rFonts w:ascii="Arial" w:cs="Arial" w:eastAsia="Arial" w:hAnsi="Arial"/>
                <w:sz w:val="20"/>
                <w:szCs w:val="20"/>
              </w:rPr>
              <w:t xml:space="preserve">~$400M+</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NWAi 10x Return Check: Base Case exit (~$100M) is marginal at the $33.5M post-money SAFE II cap — the after-dilution return may not clear the 10x threshold. Bull Case ($400M+) supports 10x. Investment thesis depends on CDW-driven ARR acceleration reaching $40M+ by Year 5. Base Case return gap must be documented explicitly for IC.</w:t>
      </w:r>
    </w:p>
    <w:p>
      <w:pPr>
        <w:spacing w:after="120" w:before="120"/>
      </w:pPr>
      <w:r>
        <w:rPr>
          <w:rFonts w:ascii="Arial" w:cs="Arial" w:eastAsia="Arial" w:hAnsi="Arial"/>
          <w:b/>
          <w:bCs/>
          <w:sz w:val="22"/>
          <w:szCs w:val="22"/>
        </w:rPr>
        <w:t xml:space="preserve">Score: 3/5</w:t>
      </w:r>
    </w:p>
    <w:p>
      <w:pPr>
        <w:pBdr>
          <w:bottom w:val="single" w:color="999999" w:sz="6" w:space="1"/>
        </w:pBdr>
        <w:spacing w:after="160" w:before="160"/>
      </w:pPr>
    </w:p>
    <w:p>
      <w:pPr>
        <w:spacing w:after="120" w:before="240"/>
      </w:pPr>
      <w:r>
        <w:rPr>
          <w:rFonts w:ascii="Arial" w:cs="Arial" w:eastAsia="Arial" w:hAnsi="Arial"/>
          <w:b/>
          <w:bCs/>
          <w:sz w:val="28"/>
          <w:szCs w:val="28"/>
        </w:rPr>
        <w:t xml:space="preserve">Section 11 — Risk Summary (inverted: 5 = lowest risk)</w:t>
      </w:r>
    </w:p>
    <w:p>
      <w:pPr>
        <w:spacing w:after="80" w:before="80"/>
      </w:pPr>
      <w:r>
        <w:rPr>
          <w:rFonts w:ascii="Arial" w:cs="Arial" w:eastAsia="Arial" w:hAnsi="Arial"/>
          <w:sz w:val="22"/>
          <w:szCs w:val="22"/>
        </w:rPr>
        <w:t xml:space="preserve">The three most significant risks are: (1) CDW channel concentration — the entire FY2026 revenue model depends on a single distributor activating its salesforce; if CDW de-prioritizes AFFIRM or pivots to Microsoft-native AI ops tooling, there is no fallback channel at scale; (2) LLC structure and SAFE instrument — both are structural AutoKill flags under NWAi criteria; even with verbal commitment to remediate, neither has been executed; and (3) financial opacity — runway, unit economics, and ARR figures contain unresolved discrepancies that prevent confident modeling of the path to Series A. The overall NWAi Risk Score average is 5.8/10, placing the deal in the moderate risk band. No single category has reached 10 (deal-breaker). Two categories score 7 (Financial Risk and Competitive Risk) — this trifecta-adjacent risk profile requires explicit IC documentation of mitigants.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6060"/>
      </w:tblGrid>
      <w:tr>
        <w:tc>
          <w:tcPr>
            <w:tcW w:type="dxa" w:w="1800"/>
            <w:shd w:fill="D9D9D9" w:color="auto" w:val="clear"/>
          </w:tcPr>
          <w:p>
            <w:r>
              <w:rPr>
                <w:rFonts w:ascii="Arial" w:cs="Arial" w:eastAsia="Arial" w:hAnsi="Arial"/>
                <w:b/>
                <w:bCs/>
                <w:sz w:val="20"/>
                <w:szCs w:val="20"/>
              </w:rPr>
              <w:t xml:space="preserve">Risk Category</w:t>
            </w:r>
          </w:p>
        </w:tc>
        <w:tc>
          <w:tcPr>
            <w:tcW w:type="dxa" w:w="1500"/>
            <w:shd w:fill="D9D9D9" w:color="auto" w:val="clear"/>
          </w:tcPr>
          <w:p>
            <w:r>
              <w:rPr>
                <w:rFonts w:ascii="Arial" w:cs="Arial" w:eastAsia="Arial" w:hAnsi="Arial"/>
                <w:b/>
                <w:bCs/>
                <w:sz w:val="20"/>
                <w:szCs w:val="20"/>
              </w:rPr>
              <w:t xml:space="preserve">Score (1–10)</w:t>
            </w:r>
          </w:p>
        </w:tc>
        <w:tc>
          <w:tcPr>
            <w:tcW w:type="dxa" w:w="6060"/>
            <w:shd w:fill="D9D9D9" w:color="auto" w:val="clear"/>
          </w:tcPr>
          <w:p>
            <w:r>
              <w:rPr>
                <w:rFonts w:ascii="Arial" w:cs="Arial" w:eastAsia="Arial" w:hAnsi="Arial"/>
                <w:b/>
                <w:bCs/>
                <w:sz w:val="20"/>
                <w:szCs w:val="20"/>
              </w:rPr>
              <w:t xml:space="preserve">Key Concern</w:t>
            </w:r>
          </w:p>
        </w:tc>
      </w:tr>
      <w:tr>
        <w:tc>
          <w:tcPr>
            <w:tcW w:type="dxa" w:w="1800"/>
          </w:tcPr>
          <w:p>
            <w:r>
              <w:rPr>
                <w:rFonts w:ascii="Arial" w:cs="Arial" w:eastAsia="Arial" w:hAnsi="Arial"/>
                <w:sz w:val="20"/>
                <w:szCs w:val="20"/>
              </w:rPr>
              <w:t xml:space="preserve">Execution</w:t>
            </w:r>
          </w:p>
        </w:tc>
        <w:tc>
          <w:tcPr>
            <w:tcW w:type="dxa" w:w="1500"/>
          </w:tcPr>
          <w:p>
            <w:r>
              <w:rPr>
                <w:rFonts w:ascii="Arial" w:cs="Arial" w:eastAsia="Arial" w:hAnsi="Arial"/>
                <w:sz w:val="20"/>
                <w:szCs w:val="20"/>
              </w:rPr>
              <w:t xml:space="preserve">6 / 10</w:t>
            </w:r>
          </w:p>
        </w:tc>
        <w:tc>
          <w:tcPr>
            <w:tcW w:type="dxa" w:w="6060"/>
          </w:tcPr>
          <w:p>
            <w:r>
              <w:rPr>
                <w:rFonts w:ascii="Arial" w:cs="Arial" w:eastAsia="Arial" w:hAnsi="Arial"/>
                <w:sz w:val="20"/>
                <w:szCs w:val="20"/>
              </w:rPr>
              <w:t xml:space="preserve">Key-person dependency on Brad Levine; explicit founder exit intent post-Series A; succession plan absent</w:t>
            </w:r>
          </w:p>
        </w:tc>
      </w:tr>
      <w:tr>
        <w:tc>
          <w:tcPr>
            <w:tcW w:type="dxa" w:w="1800"/>
          </w:tcPr>
          <w:p>
            <w:r>
              <w:rPr>
                <w:rFonts w:ascii="Arial" w:cs="Arial" w:eastAsia="Arial" w:hAnsi="Arial"/>
                <w:sz w:val="20"/>
                <w:szCs w:val="20"/>
              </w:rPr>
              <w:t xml:space="preserve">Market</w:t>
            </w:r>
          </w:p>
        </w:tc>
        <w:tc>
          <w:tcPr>
            <w:tcW w:type="dxa" w:w="1500"/>
          </w:tcPr>
          <w:p>
            <w:r>
              <w:rPr>
                <w:rFonts w:ascii="Arial" w:cs="Arial" w:eastAsia="Arial" w:hAnsi="Arial"/>
                <w:sz w:val="20"/>
                <w:szCs w:val="20"/>
              </w:rPr>
              <w:t xml:space="preserve">5 / 10</w:t>
            </w:r>
          </w:p>
        </w:tc>
        <w:tc>
          <w:tcPr>
            <w:tcW w:type="dxa" w:w="6060"/>
          </w:tcPr>
          <w:p>
            <w:r>
              <w:rPr>
                <w:rFonts w:ascii="Arial" w:cs="Arial" w:eastAsia="Arial" w:hAnsi="Arial"/>
                <w:sz w:val="20"/>
                <w:szCs w:val="20"/>
              </w:rPr>
              <w:t xml:space="preserve">CDW channel is the primary adoption vehicle; long federal sales cycles create cash conversion lag</w:t>
            </w:r>
          </w:p>
        </w:tc>
      </w:tr>
      <w:tr>
        <w:tc>
          <w:tcPr>
            <w:tcW w:type="dxa" w:w="1800"/>
          </w:tcPr>
          <w:p>
            <w:r>
              <w:rPr>
                <w:rFonts w:ascii="Arial" w:cs="Arial" w:eastAsia="Arial" w:hAnsi="Arial"/>
                <w:sz w:val="20"/>
                <w:szCs w:val="20"/>
              </w:rPr>
              <w:t xml:space="preserve">Financial</w:t>
            </w:r>
          </w:p>
        </w:tc>
        <w:tc>
          <w:tcPr>
            <w:tcW w:type="dxa" w:w="1500"/>
          </w:tcPr>
          <w:p>
            <w:r>
              <w:rPr>
                <w:rFonts w:ascii="Arial" w:cs="Arial" w:eastAsia="Arial" w:hAnsi="Arial"/>
                <w:sz w:val="20"/>
                <w:szCs w:val="20"/>
              </w:rPr>
              <w:t xml:space="preserve">7 / 10 ⚠</w:t>
            </w:r>
          </w:p>
        </w:tc>
        <w:tc>
          <w:tcPr>
            <w:tcW w:type="dxa" w:w="6060"/>
          </w:tcPr>
          <w:p>
            <w:r>
              <w:rPr>
                <w:rFonts w:ascii="Arial" w:cs="Arial" w:eastAsia="Arial" w:hAnsi="Arial"/>
                <w:sz w:val="20"/>
                <w:szCs w:val="20"/>
              </w:rPr>
              <w:t xml:space="preserve">Revenue is very early ($24K Q1); runway not disclosed; Q1 figure discrepancy unresolved; unit economics not validated</w:t>
            </w:r>
          </w:p>
        </w:tc>
      </w:tr>
      <w:tr>
        <w:tc>
          <w:tcPr>
            <w:tcW w:type="dxa" w:w="1800"/>
          </w:tcPr>
          <w:p>
            <w:r>
              <w:rPr>
                <w:rFonts w:ascii="Arial" w:cs="Arial" w:eastAsia="Arial" w:hAnsi="Arial"/>
                <w:sz w:val="20"/>
                <w:szCs w:val="20"/>
              </w:rPr>
              <w:t xml:space="preserve">Technical</w:t>
            </w:r>
          </w:p>
        </w:tc>
        <w:tc>
          <w:tcPr>
            <w:tcW w:type="dxa" w:w="1500"/>
          </w:tcPr>
          <w:p>
            <w:r>
              <w:rPr>
                <w:rFonts w:ascii="Arial" w:cs="Arial" w:eastAsia="Arial" w:hAnsi="Arial"/>
                <w:sz w:val="20"/>
                <w:szCs w:val="20"/>
              </w:rPr>
              <w:t xml:space="preserve">4 / 10</w:t>
            </w:r>
          </w:p>
        </w:tc>
        <w:tc>
          <w:tcPr>
            <w:tcW w:type="dxa" w:w="6060"/>
          </w:tcPr>
          <w:p>
            <w:r>
              <w:rPr>
                <w:rFonts w:ascii="Arial" w:cs="Arial" w:eastAsia="Arial" w:hAnsi="Arial"/>
                <w:sz w:val="20"/>
                <w:szCs w:val="20"/>
              </w:rPr>
              <w:t xml:space="preserve">Core platform deployed at TRL 7–8; open-source evaluator backbone is replication risk; no patents</w:t>
            </w:r>
          </w:p>
        </w:tc>
      </w:tr>
      <w:tr>
        <w:tc>
          <w:tcPr>
            <w:tcW w:type="dxa" w:w="1800"/>
          </w:tcPr>
          <w:p>
            <w:r>
              <w:rPr>
                <w:rFonts w:ascii="Arial" w:cs="Arial" w:eastAsia="Arial" w:hAnsi="Arial"/>
                <w:sz w:val="20"/>
                <w:szCs w:val="20"/>
              </w:rPr>
              <w:t xml:space="preserve">Competitive</w:t>
            </w:r>
          </w:p>
        </w:tc>
        <w:tc>
          <w:tcPr>
            <w:tcW w:type="dxa" w:w="1500"/>
          </w:tcPr>
          <w:p>
            <w:r>
              <w:rPr>
                <w:rFonts w:ascii="Arial" w:cs="Arial" w:eastAsia="Arial" w:hAnsi="Arial"/>
                <w:sz w:val="20"/>
                <w:szCs w:val="20"/>
              </w:rPr>
              <w:t xml:space="preserve">7 / 10 ⚠</w:t>
            </w:r>
          </w:p>
        </w:tc>
        <w:tc>
          <w:tcPr>
            <w:tcW w:type="dxa" w:w="6060"/>
          </w:tcPr>
          <w:p>
            <w:r>
              <w:rPr>
                <w:rFonts w:ascii="Arial" w:cs="Arial" w:eastAsia="Arial" w:hAnsi="Arial"/>
                <w:sz w:val="20"/>
                <w:szCs w:val="20"/>
              </w:rPr>
              <w:t xml:space="preserve">Crowded market; ServiceNow/Microsoft well-positioned to absorb AI governance as platform feature within 24 months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Overall Risk Average: 5.8 / 10 — Moderate Risk. Critical risks (7+): Financial and Competitive. No deal-breaker threshold triggered.</w:t>
      </w:r>
    </w:p>
    <w:p>
      <w:pPr>
        <w:spacing w:after="120" w:before="120"/>
      </w:pPr>
      <w:r>
        <w:rPr>
          <w:rFonts w:ascii="Arial" w:cs="Arial" w:eastAsia="Arial" w:hAnsi="Arial"/>
          <w:b/>
          <w:bCs/>
          <w:sz w:val="22"/>
          <w:szCs w:val="22"/>
        </w:rPr>
        <w:t xml:space="preserve">Score: 3/5 (inverted: 5 = lowest risk)</w:t>
      </w:r>
    </w:p>
    <w:p>
      <w:pPr>
        <w:pBdr>
          <w:bottom w:val="single" w:color="999999" w:sz="6" w:space="1"/>
        </w:pBdr>
        <w:spacing w:after="160" w:before="160"/>
      </w:pPr>
    </w:p>
    <w:p>
      <w:pPr>
        <w:spacing w:after="120" w:before="240"/>
      </w:pPr>
      <w:r>
        <w:rPr>
          <w:rFonts w:ascii="Arial" w:cs="Arial" w:eastAsia="Arial" w:hAnsi="Arial"/>
          <w:b/>
          <w:bCs/>
          <w:sz w:val="28"/>
          <w:szCs w:val="28"/>
        </w:rPr>
        <w:t xml:space="preserve">Exit Strategy</w:t>
      </w:r>
    </w:p>
    <w:p>
      <w:pPr>
        <w:spacing w:after="80" w:before="80"/>
      </w:pPr>
      <w:r>
        <w:rPr>
          <w:rFonts w:ascii="Arial" w:cs="Arial" w:eastAsia="Arial" w:hAnsi="Arial"/>
          <w:sz w:val="22"/>
          <w:szCs w:val="22"/>
        </w:rPr>
        <w:t xml:space="preserve">The most likely exit path is strategic M&amp;A at the 3–5 year hold horizon, targeting either a security/compliance platform acquirer or a large MSP/IT distributor seeking to own the IP. Primary named acquirers and rationale: Microsoft (Azure/Purview — already a Microsoft partner; AI governance complements the M365 enterprise stack and would extend Purview's compliance automation capabilities); ServiceNow (ITSM overlap — AI governance workflows are a natural extension of its platform, and AFFIRM's ServiceNow integration reduces acquisition integration risk); Cisco/Splunk (security + compliance convergence — AI governance extends the XDR/SASE portfolio into the AIOps layer); and CDW itself (would acquire Synergist to own the IP underlying its branded product — a defensive play to protect the branded managed service). The Capital Strategy document also references PE roll-up as a primary exit consideration. A Base Case exit of ~$100M at 10x revenue is marginal relative to the $33.5M post-money cap — the NWAi 10x return target requires a Bull Case outcome driven by CDW ARR ramp to $40M+ by Year 5. If Synergist converts to C-Corp and executes the CDW channel, the Microsoft or ServiceNow acquisition pathway is plausible within a 3–5 year window.</w:t>
      </w:r>
    </w:p>
    <w:p>
      <w:pPr>
        <w:pBdr>
          <w:bottom w:val="single" w:color="999999" w:sz="6" w:space="1"/>
        </w:pBdr>
        <w:spacing w:after="160" w:before="160"/>
      </w:pPr>
    </w:p>
    <w:p>
      <w:pPr>
        <w:spacing w:after="120" w:before="240"/>
      </w:pPr>
      <w:r>
        <w:rPr>
          <w:rFonts w:ascii="Arial" w:cs="Arial" w:eastAsia="Arial" w:hAnsi="Arial"/>
          <w:b/>
          <w:bCs/>
          <w:sz w:val="28"/>
          <w:szCs w:val="28"/>
        </w:rPr>
        <w:t xml:space="preserve">Recommendation</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  ☐  Invest</w:t>
      </w:r>
    </w:p>
    <w:p>
      <w:pPr>
        <w:spacing w:after="80" w:before="80"/>
      </w:pPr>
      <w:r>
        <w:rPr>
          <w:rFonts w:ascii="Arial" w:cs="Arial" w:eastAsia="Arial" w:hAnsi="Arial"/>
          <w:sz w:val="22"/>
          <w:szCs w:val="22"/>
        </w:rPr>
        <w:t xml:space="preserve">  ☐  Do Not Invest</w:t>
      </w:r>
    </w:p>
    <w:p>
      <w:pPr>
        <w:spacing w:after="80" w:before="80"/>
      </w:pPr>
      <w:r>
        <w:rPr>
          <w:rFonts w:ascii="Arial" w:cs="Arial" w:eastAsia="Arial" w:hAnsi="Arial"/>
          <w:sz w:val="22"/>
          <w:szCs w:val="22"/>
        </w:rPr>
        <w:t xml:space="preserve">  ☒  Watch / Suspend — Re-engage when: (1) C-Corp conversion completed with legal confirmation; (2) round restructured from SAFE to priced equity or convertible note; (3) Series A launched with a confirmed institutional lead investor; and (4) CDW pipeline activation confirmed by direct reference call.</w:t>
      </w:r>
    </w:p>
    <w:p>
      <w:pPr>
        <w:spacing w:after="80" w:before="80"/>
      </w:pPr>
      <w:r>
        <w:rPr>
          <w:rFonts w:ascii="Arial" w:cs="Arial" w:eastAsia="Arial" w:hAnsi="Arial"/>
          <w:sz w:val="22"/>
          <w:szCs w:val="22"/>
        </w:rPr>
        <w:t xml:space="preserve"/>
      </w:r>
    </w:p>
    <w:p>
      <w:pPr>
        <w:spacing w:after="80" w:before="80"/>
      </w:pPr>
      <w:r>
        <w:rPr>
          <w:rFonts w:ascii="Arial" w:cs="Arial" w:eastAsia="Arial" w:hAnsi="Arial"/>
          <w:b/>
          <w:bCs/>
          <w:sz w:val="22"/>
          <w:szCs w:val="22"/>
        </w:rPr>
        <w:t xml:space="preserve">Rationale:</w:t>
      </w:r>
    </w:p>
    <w:p>
      <w:pPr>
        <w:spacing w:after="80" w:before="80"/>
      </w:pPr>
      <w:r>
        <w:rPr>
          <w:rFonts w:ascii="Arial" w:cs="Arial" w:eastAsia="Arial" w:hAnsi="Arial"/>
          <w:sz w:val="22"/>
          <w:szCs w:val="22"/>
        </w:rPr>
        <w:t xml:space="preserve">Synergist Technology is a high-quality deal structurally blocked by remediable issues. Brad Levine's four-exit compliance software track record combined with a genuinely mandatory new AI governance compliance category and the CDW/Carahsoft federal distribution moat meet the NWAi conviction threshold — but not while the company is an LLC raising on a SAFE with no institutional lead and below-floor revenue. The Watch verdict is not a rejection of the thesis; it is a hold on the instrument and entity structure. If Levine executes the C-Corp conversion and restructures the round as committed, this deal should be prioritized for rapid re-engagement. The single biggest remaining risk is CDW channel concentration — even with all structural issues resolved, the bull-case return thesis collapses if CDW fails to activate at projected rates.</w:t>
      </w:r>
    </w:p>
    <w:p>
      <w:pPr>
        <w:pBdr>
          <w:bottom w:val="single" w:color="999999" w:sz="6" w:space="1"/>
        </w:pBdr>
        <w:spacing w:after="160" w:before="160"/>
      </w:pPr>
    </w:p>
    <w:p>
      <w:pPr>
        <w:spacing w:after="120" w:before="240"/>
      </w:pPr>
      <w:r>
        <w:rPr>
          <w:rFonts w:ascii="Arial" w:cs="Arial" w:eastAsia="Arial" w:hAnsi="Arial"/>
          <w:b/>
          <w:bCs/>
          <w:sz w:val="28"/>
          <w:szCs w:val="28"/>
        </w:rPr>
        <w:t xml:space="preserve">DD Team Votes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D9D9D9" w:color="auto" w:val="clear"/>
          </w:tcPr>
          <w:p>
            <w:r>
              <w:rPr>
                <w:rFonts w:ascii="Arial" w:cs="Arial" w:eastAsia="Arial" w:hAnsi="Arial"/>
                <w:b/>
                <w:bCs/>
                <w:sz w:val="20"/>
                <w:szCs w:val="20"/>
              </w:rPr>
              <w:t xml:space="preserve">Role</w:t>
            </w:r>
          </w:p>
        </w:tc>
        <w:tc>
          <w:tcPr>
            <w:tcW w:type="dxa" w:w="2340"/>
            <w:shd w:fill="D9D9D9" w:color="auto" w:val="clear"/>
          </w:tcPr>
          <w:p>
            <w:r>
              <w:rPr>
                <w:rFonts w:ascii="Arial" w:cs="Arial" w:eastAsia="Arial" w:hAnsi="Arial"/>
                <w:b/>
                <w:bCs/>
                <w:sz w:val="20"/>
                <w:szCs w:val="20"/>
              </w:rPr>
              <w:t xml:space="preserve">Name</w:t>
            </w:r>
          </w:p>
        </w:tc>
        <w:tc>
          <w:tcPr>
            <w:tcW w:type="dxa" w:w="2340"/>
            <w:shd w:fill="D9D9D9" w:color="auto" w:val="clear"/>
          </w:tcPr>
          <w:p>
            <w:r>
              <w:rPr>
                <w:rFonts w:ascii="Arial" w:cs="Arial" w:eastAsia="Arial" w:hAnsi="Arial"/>
                <w:b/>
                <w:bCs/>
                <w:sz w:val="20"/>
                <w:szCs w:val="20"/>
              </w:rPr>
              <w:t xml:space="preserve">Recommend</w:t>
            </w:r>
          </w:p>
        </w:tc>
        <w:tc>
          <w:tcPr>
            <w:tcW w:type="dxa" w:w="2340"/>
            <w:shd w:fill="D9D9D9" w:color="auto" w:val="clear"/>
          </w:tcPr>
          <w:p>
            <w:r>
              <w:rPr>
                <w:rFonts w:ascii="Arial" w:cs="Arial" w:eastAsia="Arial" w:hAnsi="Arial"/>
                <w:b/>
                <w:bCs/>
                <w:sz w:val="20"/>
                <w:szCs w:val="20"/>
              </w:rPr>
              <w:t xml:space="preserve">Add-On Interest</w:t>
            </w:r>
          </w:p>
        </w:tc>
      </w:tr>
      <w:tr>
        <w:tc>
          <w:tcPr>
            <w:tcW w:type="dxa" w:w="2340"/>
          </w:tcPr>
          <w:p>
            <w:r>
              <w:rPr>
                <w:rFonts w:ascii="Arial" w:cs="Arial" w:eastAsia="Arial" w:hAnsi="Arial"/>
                <w:sz w:val="20"/>
                <w:szCs w:val="20"/>
              </w:rPr>
              <w:t xml:space="preserve">DD Committee Chair</w:t>
            </w:r>
          </w:p>
        </w:tc>
        <w:tc>
          <w:tcPr>
            <w:tcW w:type="dxa" w:w="2340"/>
          </w:tcPr>
          <w:p>
            <w:r>
              <w:rPr>
                <w:rFonts w:ascii="Arial" w:cs="Arial" w:eastAsia="Arial" w:hAnsi="Arial"/>
                <w:sz w:val="20"/>
                <w:szCs w:val="20"/>
              </w:rPr>
              <w:t xml:space="preserve">[TBD — Pending Dealum API]</w:t>
            </w:r>
          </w:p>
        </w:tc>
        <w:tc>
          <w:tcPr>
            <w:tcW w:type="dxa" w:w="2340"/>
          </w:tcPr>
          <w:p>
            <w:r>
              <w:rPr>
                <w:rFonts w:ascii="Arial" w:cs="Arial" w:eastAsia="Arial" w:hAnsi="Arial"/>
                <w:sz w:val="20"/>
                <w:szCs w:val="20"/>
              </w:rPr>
              <w:t xml:space="preserve">[TBD]</w:t>
            </w:r>
          </w:p>
        </w:tc>
        <w:tc>
          <w:tcPr>
            <w:tcW w:type="dxa" w:w="2340"/>
          </w:tcPr>
          <w:p>
            <w:r>
              <w:rPr>
                <w:rFonts w:ascii="Arial" w:cs="Arial" w:eastAsia="Arial" w:hAnsi="Arial"/>
                <w:sz w:val="20"/>
                <w:szCs w:val="20"/>
              </w:rPr>
              <w:t xml:space="preserve">[TBD]</w:t>
            </w:r>
          </w:p>
        </w:tc>
      </w:tr>
      <w:tr>
        <w:tc>
          <w:tcPr>
            <w:tcW w:type="dxa" w:w="2340"/>
          </w:tcPr>
          <w:p>
            <w:r>
              <w:rPr>
                <w:rFonts w:ascii="Arial" w:cs="Arial" w:eastAsia="Arial" w:hAnsi="Arial"/>
                <w:sz w:val="20"/>
                <w:szCs w:val="20"/>
              </w:rPr>
              <w:t xml:space="preserve">DD Lead</w:t>
            </w:r>
          </w:p>
        </w:tc>
        <w:tc>
          <w:tcPr>
            <w:tcW w:type="dxa" w:w="2340"/>
          </w:tcPr>
          <w:p>
            <w:r>
              <w:rPr>
                <w:rFonts w:ascii="Arial" w:cs="Arial" w:eastAsia="Arial" w:hAnsi="Arial"/>
                <w:sz w:val="20"/>
                <w:szCs w:val="20"/>
              </w:rPr>
              <w:t xml:space="preserve">[TBD — Pending Dealum API]</w:t>
            </w:r>
          </w:p>
        </w:tc>
        <w:tc>
          <w:tcPr>
            <w:tcW w:type="dxa" w:w="2340"/>
          </w:tcPr>
          <w:p>
            <w:r>
              <w:rPr>
                <w:rFonts w:ascii="Arial" w:cs="Arial" w:eastAsia="Arial" w:hAnsi="Arial"/>
                <w:sz w:val="20"/>
                <w:szCs w:val="20"/>
              </w:rPr>
              <w:t xml:space="preserve">[TBD]</w:t>
            </w:r>
          </w:p>
        </w:tc>
        <w:tc>
          <w:tcPr>
            <w:tcW w:type="dxa" w:w="2340"/>
          </w:tcPr>
          <w:p>
            <w:r>
              <w:rPr>
                <w:rFonts w:ascii="Arial" w:cs="Arial" w:eastAsia="Arial" w:hAnsi="Arial"/>
                <w:sz w:val="20"/>
                <w:szCs w:val="20"/>
              </w:rPr>
              <w:t xml:space="preserve">[TBD]</w:t>
            </w:r>
          </w:p>
        </w:tc>
      </w:tr>
      <w:tr>
        <w:tc>
          <w:tcPr>
            <w:tcW w:type="dxa" w:w="2340"/>
          </w:tcPr>
          <w:p>
            <w:r>
              <w:rPr>
                <w:rFonts w:ascii="Arial" w:cs="Arial" w:eastAsia="Arial" w:hAnsi="Arial"/>
                <w:sz w:val="20"/>
                <w:szCs w:val="20"/>
              </w:rPr>
              <w:t xml:space="preserve">DD Member</w:t>
            </w:r>
          </w:p>
        </w:tc>
        <w:tc>
          <w:tcPr>
            <w:tcW w:type="dxa" w:w="2340"/>
          </w:tcPr>
          <w:p>
            <w:r>
              <w:rPr>
                <w:rFonts w:ascii="Arial" w:cs="Arial" w:eastAsia="Arial" w:hAnsi="Arial"/>
                <w:sz w:val="20"/>
                <w:szCs w:val="20"/>
              </w:rPr>
              <w:t xml:space="preserve">[TBD — Pending Dealum API]</w:t>
            </w:r>
          </w:p>
        </w:tc>
        <w:tc>
          <w:tcPr>
            <w:tcW w:type="dxa" w:w="2340"/>
          </w:tcPr>
          <w:p>
            <w:r>
              <w:rPr>
                <w:rFonts w:ascii="Arial" w:cs="Arial" w:eastAsia="Arial" w:hAnsi="Arial"/>
                <w:sz w:val="20"/>
                <w:szCs w:val="20"/>
              </w:rPr>
              <w:t xml:space="preserve">[TBD]</w:t>
            </w:r>
          </w:p>
        </w:tc>
        <w:tc>
          <w:tcPr>
            <w:tcW w:type="dxa" w:w="2340"/>
          </w:tcPr>
          <w:p>
            <w:r>
              <w:rPr>
                <w:rFonts w:ascii="Arial" w:cs="Arial" w:eastAsia="Arial" w:hAnsi="Arial"/>
                <w:sz w:val="20"/>
                <w:szCs w:val="20"/>
              </w:rPr>
              <w:t xml:space="preserve">[TBD]</w:t>
            </w:r>
          </w:p>
        </w:tc>
      </w:tr>
      <w:tr>
        <w:tc>
          <w:tcPr>
            <w:tcW w:type="dxa" w:w="2340"/>
          </w:tcPr>
          <w:p>
            <w:r>
              <w:rPr>
                <w:rFonts w:ascii="Arial" w:cs="Arial" w:eastAsia="Arial" w:hAnsi="Arial"/>
                <w:sz w:val="20"/>
                <w:szCs w:val="20"/>
              </w:rPr>
              <w:t xml:space="preserve">DD Member</w:t>
            </w:r>
          </w:p>
        </w:tc>
        <w:tc>
          <w:tcPr>
            <w:tcW w:type="dxa" w:w="2340"/>
          </w:tcPr>
          <w:p>
            <w:r>
              <w:rPr>
                <w:rFonts w:ascii="Arial" w:cs="Arial" w:eastAsia="Arial" w:hAnsi="Arial"/>
                <w:sz w:val="20"/>
                <w:szCs w:val="20"/>
              </w:rPr>
              <w:t xml:space="preserve">[TBD — Pending Dealum API]</w:t>
            </w:r>
          </w:p>
        </w:tc>
        <w:tc>
          <w:tcPr>
            <w:tcW w:type="dxa" w:w="2340"/>
          </w:tcPr>
          <w:p>
            <w:r>
              <w:rPr>
                <w:rFonts w:ascii="Arial" w:cs="Arial" w:eastAsia="Arial" w:hAnsi="Arial"/>
                <w:sz w:val="20"/>
                <w:szCs w:val="20"/>
              </w:rPr>
              <w:t xml:space="preserve">[TBD]</w:t>
            </w:r>
          </w:p>
        </w:tc>
        <w:tc>
          <w:tcPr>
            <w:tcW w:type="dxa" w:w="2340"/>
          </w:tcPr>
          <w:p>
            <w:r>
              <w:rPr>
                <w:rFonts w:ascii="Arial" w:cs="Arial" w:eastAsia="Arial" w:hAnsi="Arial"/>
                <w:sz w:val="20"/>
                <w:szCs w:val="20"/>
              </w:rPr>
              <w:t xml:space="preserve">[TBD]</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Note: DD team member names are pending Dealum API integration. Update prior to IC presentation.</w:t>
      </w:r>
    </w:p>
    <w:p>
      <w:pPr>
        <w:spacing w:after="80" w:before="80"/>
      </w:pPr>
      <w:r>
        <w:rPr>
          <w:rFonts w:ascii="Arial" w:cs="Arial" w:eastAsia="Arial" w:hAnsi="Arial"/>
          <w:sz w:val="22"/>
          <w:szCs w:val="22"/>
        </w:rPr>
        <w:t xml:space="preserve"/>
      </w:r>
    </w:p>
    <w:p>
      <w:pPr>
        <w:pBdr>
          <w:bottom w:val="single" w:color="999999" w:sz="6" w:space="1"/>
        </w:pBdr>
        <w:spacing w:after="160" w:before="160"/>
      </w:pPr>
    </w:p>
    <w:p>
      <w:pPr>
        <w:spacing w:after="80" w:before="80"/>
      </w:pPr>
      <w:r>
        <w:rPr>
          <w:rFonts w:ascii="Arial" w:cs="Arial" w:eastAsia="Arial" w:hAnsi="Arial"/>
          <w:sz w:val="22"/>
          <w:szCs w:val="22"/>
        </w:rPr>
        <w:t xml:space="preserve">This report was prepared by NWAi Investment Intelligence — TechGroup. Report Date: March 22, 2026.</w:t>
      </w:r>
    </w:p>
    <w:p>
      <w:pPr>
        <w:spacing w:after="80" w:before="80"/>
      </w:pPr>
      <w:r>
        <w:rPr>
          <w:rFonts w:ascii="Arial" w:cs="Arial" w:eastAsia="Arial" w:hAnsi="Arial"/>
          <w:sz w:val="22"/>
          <w:szCs w:val="22"/>
        </w:rPr>
        <w:t xml:space="preserve">New World Angels — Confidential. Do not distribute without authorization.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666666"/>
        <w:sz w:val="18"/>
        <w:szCs w:val="18"/>
      </w:rPr>
      <w:t xml:space="preserve">Synergist Technology (AFFIRM)</w:t>
    </w:r>
    <w:r>
      <w:rPr>
        <w:rFonts w:ascii="Arial" w:cs="Arial" w:eastAsia="Arial" w:hAnsi="Arial"/>
        <w:color w:val="666666"/>
        <w:sz w:val="18"/>
        <w:szCs w:val="18"/>
      </w:rPr>
      <w:t xml:space="preserve">          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8"/>
        <w:szCs w:val="18"/>
      </w:rPr>
      <w:t xml:space="preserve">New World Angels — Confidential Investment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Synergist Technology — NWAi DD Investment Report</dc:title>
  <dc:creator>NWAi Investment Intelligence</dc:creator>
  <cp:lastModifiedBy>Un-named</cp:lastModifiedBy>
  <cp:revision>1</cp:revision>
  <dcterms:created xsi:type="dcterms:W3CDTF">2026-03-22T19:59:49.420Z</dcterms:created>
  <dcterms:modified xsi:type="dcterms:W3CDTF">2026-03-22T19:59:49.421Z</dcterms:modified>
</cp:coreProperties>
</file>

<file path=docProps/custom.xml><?xml version="1.0" encoding="utf-8"?>
<Properties xmlns="http://schemas.openxmlformats.org/officeDocument/2006/custom-properties" xmlns:vt="http://schemas.openxmlformats.org/officeDocument/2006/docPropsVTypes"/>
</file>