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bCs/>
          <w:i w:val="false"/>
          <w:iCs w:val="false"/>
          <w:color w:val="1F3864"/>
          <w:sz w:val="40"/>
          <w:szCs w:val="40"/>
        </w:rPr>
        <w:t xml:space="preserve">NWAi Group Playbook</w:t>
      </w:r>
    </w:p>
    <w:p>
      <w:pPr>
        <w:spacing w:after="240" w:before="0"/>
        <w:jc w:val="left"/>
      </w:pPr>
      <w:r>
        <w:rPr>
          <w:rFonts w:ascii="Calibri" w:cs="Calibri" w:eastAsia="Calibri" w:hAnsi="Calibri"/>
          <w:b/>
          <w:bCs/>
          <w:i w:val="false"/>
          <w:iCs w:val="false"/>
          <w:color w:val="1F3864"/>
          <w:sz w:val="32"/>
          <w:szCs w:val="32"/>
        </w:rPr>
        <w:t xml:space="preserve">Intake Questionnaire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Audience</w:t>
            </w:r>
          </w:p>
        </w:tc>
        <w:tc>
          <w:tcPr>
            <w:tcW w:type="dxa" w:w="67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Group Chair (and Co-Chair) for MedicalGroup, SpaceGroup, ConsumerGroup, IndustrialGroup, FintechGroup</w:t>
            </w:r>
          </w:p>
        </w:tc>
      </w:tr>
      <w:tr>
        <w:tc>
          <w:tcPr>
            <w:tcW w:type="dxa" w:w="26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Purpose</w:t>
            </w:r>
          </w:p>
        </w:tc>
        <w:tc>
          <w:tcPr>
            <w:tcW w:type="dxa" w:w="67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Provide the group-specific inputs needed to extend the NWAi Investment Intelligence plugin from TechGroup-only to all 6 NWAi groups under a single multi-group plugin.</w:t>
            </w:r>
          </w:p>
        </w:tc>
      </w:tr>
      <w:tr>
        <w:tc>
          <w:tcPr>
            <w:tcW w:type="dxa" w:w="26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Time</w:t>
            </w:r>
          </w:p>
        </w:tc>
        <w:tc>
          <w:tcPr>
            <w:tcW w:type="dxa" w:w="67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~60–90 minutes</w:t>
            </w:r>
          </w:p>
        </w:tc>
      </w:tr>
      <w:tr>
        <w:tc>
          <w:tcPr>
            <w:tcW w:type="dxa" w:w="26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Companion</w:t>
            </w:r>
          </w:p>
        </w:tc>
        <w:tc>
          <w:tcPr>
            <w:tcW w:type="dxa" w:w="67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NWAi-Group-Playbook-Intake-TechGroup-Reference.md — TechGroup's fully populated answers, kept alongside this blank template as a worked example.</w:t>
            </w:r>
          </w:p>
        </w:tc>
      </w:tr>
      <w:tr>
        <w:tc>
          <w:tcPr>
            <w:tcW w:type="dxa" w:w="26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Return to</w:t>
            </w:r>
          </w:p>
        </w:tc>
        <w:tc>
          <w:tcPr>
            <w:tcW w:type="dxa" w:w="67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Jamie — TechGroup Co-Chair, NWA Investment Intelligence Platform &amp; AI</w:t>
            </w:r>
          </w:p>
        </w:tc>
      </w:tr>
    </w:tbl>
    <w:p>
      <w:pPr>
        <w:spacing w:after="0" w:before="240"/>
        <w:jc w:val="left"/>
      </w:pPr>
      <w:r>
        <w:rPr>
          <w:rFonts w:ascii="Calibri" w:cs="Calibri" w:eastAsia="Calibri" w:hAnsi="Calibri"/>
          <w:b w:val="false"/>
          <w:bCs w:val="false"/>
          <w:i w:val="false"/>
          <w:iCs w:val="false"/>
          <w:color w:val="000000"/>
          <w:sz w:val="22"/>
          <w:szCs w:val="22"/>
        </w:rPr>
        <w:t xml:space="preserve"/>
      </w:r>
    </w:p>
    <w:p>
      <w:pPr>
        <w:pBdr>
          <w:bottom w:val="single" w:color="1F3864" w:sz="8" w:space="4"/>
        </w:pBdr>
        <w:spacing w:after="120" w:before="360"/>
      </w:pPr>
      <w:r>
        <w:rPr>
          <w:rFonts w:ascii="Calibri" w:cs="Calibri" w:eastAsia="Calibri" w:hAnsi="Calibri"/>
          <w:b/>
          <w:bCs/>
          <w:i w:val="false"/>
          <w:iCs w:val="false"/>
          <w:color w:val="1F3864"/>
          <w:sz w:val="32"/>
          <w:szCs w:val="32"/>
        </w:rPr>
        <w:t xml:space="preserve">How to Use This Document</w:t>
      </w:r>
    </w:p>
    <w:p>
      <w:pPr>
        <w:spacing w:after="40" w:before="40"/>
        <w:jc w:val="left"/>
      </w:pPr>
      <w:r>
        <w:rPr>
          <w:rFonts w:ascii="Calibri" w:cs="Calibri" w:eastAsia="Calibri" w:hAnsi="Calibri"/>
          <w:b w:val="false"/>
          <w:bCs w:val="false"/>
          <w:i w:val="false"/>
          <w:iCs w:val="false"/>
          <w:color w:val="000000"/>
          <w:sz w:val="22"/>
          <w:szCs w:val="22"/>
        </w:rPr>
        <w:t xml:space="preserve">The plugin separates shared rails (universal across all 6 groups — hard gates, NWA Filter, Readiness scoring, Scout questions, Diligence rubrics, DD Report format, Memo format, 7 of 9 agents) from the group-specific playbook (this questionnaire's output — Opportunity rubric, themes, moat lens, optional calibration, optional specialist agent).</w:t>
      </w:r>
    </w:p>
    <w:p>
      <w:pPr>
        <w:spacing w:after="40" w:before="40"/>
        <w:jc w:val="left"/>
      </w:pPr>
      <w:r>
        <w:rPr>
          <w:rFonts w:ascii="Calibri" w:cs="Calibri" w:eastAsia="Calibri" w:hAnsi="Calibri"/>
          <w:b w:val="false"/>
          <w:bCs w:val="false"/>
          <w:i w:val="false"/>
          <w:iCs w:val="false"/>
          <w:color w:val="000000"/>
          <w:sz w:val="22"/>
          <w:szCs w:val="22"/>
        </w:rPr>
        <w:t xml:space="preserve">You only fill in the playbook layer. The shared rails apply to your group automatically. Where a section is marked (Optional), skip it if it does not apply — the universal default will take over.</w:t>
      </w:r>
    </w:p>
    <w:p>
      <w:pPr>
        <w:spacing w:after="40" w:before="40"/>
        <w:jc w:val="left"/>
      </w:pPr>
      <w:r>
        <w:rPr>
          <w:rFonts w:ascii="Calibri" w:cs="Calibri" w:eastAsia="Calibri" w:hAnsi="Calibri"/>
          <w:b w:val="false"/>
          <w:bCs w:val="false"/>
          <w:i w:val="false"/>
          <w:iCs w:val="false"/>
          <w:color w:val="000000"/>
          <w:sz w:val="22"/>
          <w:szCs w:val="22"/>
        </w:rPr>
        <w:t xml:space="preserve">For every section, look at the corresponding TechGroup reference answer first. That tells you the level of detail expected and the format the plugin will translate into a runtime reference doc.</w:t>
      </w:r>
    </w:p>
    <w:p>
      <w:pPr>
        <w:spacing w:after="40" w:before="40"/>
        <w:jc w:val="left"/>
      </w:pPr>
      <w:r>
        <w:rPr>
          <w:rFonts w:ascii="Calibri" w:cs="Calibri" w:eastAsia="Calibri" w:hAnsi="Calibri"/>
          <w:b w:val="false"/>
          <w:bCs w:val="false"/>
          <w:i w:val="false"/>
          <w:iCs w:val="false"/>
          <w:color w:val="000000"/>
          <w:sz w:val="22"/>
          <w:szCs w:val="22"/>
        </w:rPr>
        <w:t xml:space="preserve">When you finish, return this document to Jamie. He'll translate the answers into a gates-and-flags-&lt;yourgroup&gt;.md reference file, a Themes &amp; SMEs block in CLAUDE.md, an optional specialist agent file, and a Dealum tag binding.</w:t>
      </w:r>
    </w:p>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1 — Group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Names the group, binds it to its Dealum tag, and gives a one-sentence investment thesis the plugin can echo back when the group is in scope.</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1 of NWAi-Group-Playbook-Intake-TechGroup-Reference.md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Field</w:t>
            </w:r>
          </w:p>
        </w:tc>
        <w:tc>
          <w:tcPr>
            <w:tcW w:type="dxa" w:w="5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Your Answer</w:t>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Group name (full)</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Group acronym</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Dealum tag string (the literal tag value used to identify this group's deals in Dealum)</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Group Chair (name + role)</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Co-Chair (if any)</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One-sentence investment thesis for this group</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2 — Funnel Calibration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7A4F01"/>
                <w:sz w:val="22"/>
                <w:szCs w:val="22"/>
              </w:rPr>
              <w:t xml:space="preserve">(Optional) </w:t>
            </w:r>
            <w:r>
              <w:rPr>
                <w:rFonts w:ascii="Calibri" w:cs="Calibri" w:eastAsia="Calibri" w:hAnsi="Calibri"/>
                <w:b w:val="false"/>
                <w:bCs w:val="false"/>
                <w:i w:val="false"/>
                <w:iCs w:val="false"/>
                <w:color w:val="7A4F01"/>
                <w:sz w:val="22"/>
                <w:szCs w:val="22"/>
              </w:rPr>
              <w:t xml:space="preserve">Skip Section 2 if it does not apply to your group. The universal default will take 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TechGroup uses funnel calibration (~300 pitches per year, 2–3 Scout/Live Pitch slots per month) to tune its screening thresholds and prevent the screen from over-advancing. If your group does not run a fixed Scout/Live Pitch cadence — or your inbound volume is too low or too irregular to need calibration — skip this section. The universal Decision Logic (ADVANCE ≥ 20/30, WATCH 14–19, DECLINE &lt; 14) will apply unchanged.</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2 of the reference file (uses TechGroup's actual numbers).</w:t>
      </w:r>
    </w:p>
    <w:p>
      <w:pPr>
        <w:spacing w:after="40" w:before="40"/>
        <w:jc w:val="left"/>
      </w:pPr>
      <w:r>
        <w:rPr>
          <w:rFonts w:ascii="Calibri" w:cs="Calibri" w:eastAsia="Calibri" w:hAnsi="Calibri"/>
          <w:b w:val="false"/>
          <w:bCs w:val="false"/>
          <w:i w:val="false"/>
          <w:iCs w:val="false"/>
          <w:color w:val="000000"/>
          <w:sz w:val="22"/>
          <w:szCs w:val="22"/>
        </w:rPr>
        <w:t xml:space="preserve">Fill out only if your group wants explicit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Field</w:t>
            </w:r>
          </w:p>
        </w:tc>
        <w:tc>
          <w:tcPr>
            <w:tcW w:type="dxa" w:w="5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Your Answer</w:t>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Annual pitch volume (Dealum inbound, last 12 months — estimate is fine)</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Scout / Live Pitch capacity per month</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Target advance rate (% of inbound that should reach Scout)</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Historical funded-deal count, last 3 years</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One-line note on what these numbers imply for your screening posture (e.g., "tight — screen should kill 90%")</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3 — Track Determination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7A4F01"/>
                <w:sz w:val="22"/>
                <w:szCs w:val="22"/>
              </w:rPr>
              <w:t xml:space="preserve">(Optional) </w:t>
            </w:r>
            <w:r>
              <w:rPr>
                <w:rFonts w:ascii="Calibri" w:cs="Calibri" w:eastAsia="Calibri" w:hAnsi="Calibri"/>
                <w:b w:val="false"/>
                <w:bCs w:val="false"/>
                <w:i w:val="false"/>
                <w:iCs w:val="false"/>
                <w:color w:val="7A4F01"/>
                <w:sz w:val="22"/>
                <w:szCs w:val="22"/>
              </w:rPr>
              <w:t xml:space="preserve">Skip Section 3 if it does not apply to your group. The universal default will take 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Some groups bifurcate (or N-furcate) deals into tracks before scoring because the same Opportunity rubric does not fit all sub-types. TechGroup uses Track A (Software/AI/Cloud) vs. Track B (Hardware/Robotics/Physical Tech) because the Founder Advantage, Technical Maturity, and Unit Economics dimensions score very differently between software and hardware companies. If your group's deals are homogeneous enough that one rubric works for all of them, answer "No" and proceed to Section 4 with a single rubric.</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3 of the reference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Field</w:t>
            </w:r>
          </w:p>
        </w:tc>
        <w:tc>
          <w:tcPr>
            <w:tcW w:type="dxa" w:w="5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Your Answer</w:t>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Does this group bifurcate (or N-furcate) deals into tracks before scoring? (Yes / No)</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Yes, list each track with: track name, primary revenue/product model definition, examples of deal types</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Yes, mixed-play default rule (which track wins when a deal could go either way?)</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No, confirm a single Opportunity rubric will apply to all deals in this group</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4 — Opportunity Rubric (per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This is the heart of your group's playbook. It tells the plugin how to score the 6 universal Opportunity dimensions specifically for your domain. Each dimension is scored 0–5 (total = 30 pts), and the universal Decision Logic uses the same thresholds across all groups (ADVANCE ≥ 20, WATCH 14–19, DECLINE &lt; 14, with Market Opportunity ≤ 2 sub-floor).</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4 of the reference file (provides Track A and Track B rubrics verbatim from gates-and-flags-techgroup.md).</w:t>
      </w:r>
    </w:p>
    <w:p>
      <w:pPr>
        <w:spacing w:after="40" w:before="40"/>
        <w:jc w:val="left"/>
      </w:pPr>
      <w:r>
        <w:rPr>
          <w:rFonts w:ascii="Calibri" w:cs="Calibri" w:eastAsia="Calibri" w:hAnsi="Calibri"/>
          <w:b w:val="false"/>
          <w:bCs w:val="false"/>
          <w:i/>
          <w:iCs/>
          <w:color w:val="000000"/>
          <w:sz w:val="22"/>
          <w:szCs w:val="22"/>
        </w:rPr>
        <w:t xml:space="preserve">You may rename, replace, or re-anchor any dimension to fit your domain. The universal defaults below are starting points — feel free to override any of them. What matters is that your group ends up with 6 dimensions × 0–5 anchors, with at least one sub-floor rule.</w:t>
      </w:r>
    </w:p>
    <w:p>
      <w:pPr>
        <w:spacing w:after="80" w:before="200"/>
      </w:pPr>
      <w:r>
        <w:rPr>
          <w:rFonts w:ascii="Calibri" w:cs="Calibri" w:eastAsia="Calibri" w:hAnsi="Calibri"/>
          <w:b/>
          <w:bCs/>
          <w:i w:val="false"/>
          <w:iCs w:val="false"/>
          <w:color w:val="1F3864"/>
          <w:sz w:val="24"/>
          <w:szCs w:val="24"/>
        </w:rPr>
        <w:t xml:space="preserve">6 Universal Dimensions (defaults — override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w:t>
            </w:r>
          </w:p>
        </w:tc>
        <w:tc>
          <w:tcPr>
            <w:tcW w:type="dxa" w:w="29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Default Dimension</w:t>
            </w:r>
          </w:p>
        </w:tc>
        <w:tc>
          <w:tcPr>
            <w:tcW w:type="dxa" w:w="58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Default Question</w:t>
            </w:r>
          </w:p>
        </w:tc>
      </w:tr>
      <w:tr>
        <w:tc>
          <w:tcPr>
            <w:tcW w:type="dxa" w:w="6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1</w:t>
            </w:r>
          </w:p>
        </w:tc>
        <w:tc>
          <w:tcPr>
            <w:tcW w:type="dxa" w:w="29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Structural Discontinuity</w:t>
            </w:r>
          </w:p>
        </w:tc>
        <w:tc>
          <w:tcPr>
            <w:tcW w:type="dxa" w:w="58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Is this riding a genuine, irreversible market shift? Why is now the right moment?</w:t>
            </w:r>
          </w:p>
        </w:tc>
      </w:tr>
      <w:tr>
        <w:tc>
          <w:tcPr>
            <w:tcW w:type="dxa" w:w="6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2</w:t>
            </w:r>
          </w:p>
        </w:tc>
        <w:tc>
          <w:tcPr>
            <w:tcW w:type="dxa" w:w="29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Market Opportunity ⚠ SUB-FLOOR</w:t>
            </w:r>
          </w:p>
        </w:tc>
        <w:tc>
          <w:tcPr>
            <w:tcW w:type="dxa" w:w="58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Does the TAM credibly support venture-scale outcomes? Is the market growing?</w:t>
            </w:r>
          </w:p>
        </w:tc>
      </w:tr>
      <w:tr>
        <w:tc>
          <w:tcPr>
            <w:tcW w:type="dxa" w:w="6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3</w:t>
            </w:r>
          </w:p>
        </w:tc>
        <w:tc>
          <w:tcPr>
            <w:tcW w:type="dxa" w:w="29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Founder Advantage</w:t>
            </w:r>
          </w:p>
        </w:tc>
        <w:tc>
          <w:tcPr>
            <w:tcW w:type="dxa" w:w="58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Does this founding team have an earned right to win in this domain?</w:t>
            </w:r>
          </w:p>
        </w:tc>
      </w:tr>
      <w:tr>
        <w:tc>
          <w:tcPr>
            <w:tcW w:type="dxa" w:w="6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4</w:t>
            </w:r>
          </w:p>
        </w:tc>
        <w:tc>
          <w:tcPr>
            <w:tcW w:type="dxa" w:w="29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Defensibility</w:t>
            </w:r>
          </w:p>
        </w:tc>
        <w:tc>
          <w:tcPr>
            <w:tcW w:type="dxa" w:w="58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Can we see early seeds of a real moat, even at this stage?</w:t>
            </w:r>
          </w:p>
        </w:tc>
      </w:tr>
      <w:tr>
        <w:tc>
          <w:tcPr>
            <w:tcW w:type="dxa" w:w="6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5</w:t>
            </w:r>
          </w:p>
        </w:tc>
        <w:tc>
          <w:tcPr>
            <w:tcW w:type="dxa" w:w="29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Traction</w:t>
            </w:r>
          </w:p>
        </w:tc>
        <w:tc>
          <w:tcPr>
            <w:tcW w:type="dxa" w:w="58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Is there evidence of real customer pull, not just founder push?</w:t>
            </w:r>
          </w:p>
        </w:tc>
      </w:tr>
      <w:tr>
        <w:tc>
          <w:tcPr>
            <w:tcW w:type="dxa" w:w="6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6</w:t>
            </w:r>
          </w:p>
        </w:tc>
        <w:tc>
          <w:tcPr>
            <w:tcW w:type="dxa" w:w="29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Venture Economics</w:t>
            </w:r>
          </w:p>
        </w:tc>
        <w:tc>
          <w:tcPr>
            <w:tcW w:type="dxa" w:w="58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Is there a credible path to a venture-scale outcome that returns 10x for NWAi?</w:t>
            </w:r>
          </w:p>
        </w:tc>
      </w:tr>
    </w:tbl>
    <w:p>
      <w:pPr>
        <w:spacing w:after="0" w:before="160"/>
        <w:jc w:val="left"/>
      </w:pPr>
      <w:r>
        <w:rPr>
          <w:rFonts w:ascii="Calibri" w:cs="Calibri" w:eastAsia="Calibri" w:hAnsi="Calibri"/>
          <w:b w:val="false"/>
          <w:bCs w:val="false"/>
          <w:i w:val="false"/>
          <w:iCs w:val="false"/>
          <w:color w:val="000000"/>
          <w:sz w:val="22"/>
          <w:szCs w:val="22"/>
        </w:rPr>
        <w:t xml:space="preserve"/>
      </w:r>
    </w:p>
    <w:p>
      <w:pPr>
        <w:spacing w:after="80" w:before="200"/>
      </w:pPr>
      <w:r>
        <w:rPr>
          <w:rFonts w:ascii="Calibri" w:cs="Calibri" w:eastAsia="Calibri" w:hAnsi="Calibri"/>
          <w:b/>
          <w:bCs/>
          <w:i w:val="false"/>
          <w:iCs w:val="false"/>
          <w:color w:val="1F3864"/>
          <w:sz w:val="24"/>
          <w:szCs w:val="24"/>
        </w:rPr>
        <w:t xml:space="preserve">Fill out per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000000"/>
                <w:sz w:val="22"/>
                <w:szCs w:val="22"/>
              </w:rPr>
              <w:t xml:space="preserve">If your group has more than one track </w:t>
            </w:r>
            <w:r>
              <w:rPr>
                <w:rFonts w:ascii="Calibri" w:cs="Calibri" w:eastAsia="Calibri" w:hAnsi="Calibri"/>
                <w:b w:val="false"/>
                <w:bCs w:val="false"/>
                <w:i w:val="false"/>
                <w:iCs w:val="false"/>
                <w:color w:val="000000"/>
                <w:sz w:val="22"/>
                <w:szCs w:val="22"/>
              </w:rPr>
              <w:t xml:space="preserve">(see Section 3), duplicate this entire block in Word and rename for each track. If you have a single rubric, fill it out once and ignore the duplication note.</w:t>
            </w:r>
          </w:p>
        </w:tc>
      </w:tr>
    </w:tbl>
    <w:p>
      <w:pPr>
        <w:spacing w:after="0" w:before="8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Track Name</w:t>
            </w:r>
          </w:p>
        </w:tc>
        <w:tc>
          <w:tcPr>
            <w:tcW w:type="dxa" w:w="7160"/>
            <w:shd w:fill="FFFFFF" w:color="auto" w:val="clear"/>
            <w:tcMar>
              <w:top w:type="dxa" w:w="160"/>
              <w:left w:type="dxa" w:w="140"/>
              <w:bottom w:type="dxa" w:w="16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120"/>
        <w:jc w:val="left"/>
      </w:pPr>
      <w:r>
        <w:rPr>
          <w:rFonts w:ascii="Calibri" w:cs="Calibri" w:eastAsia="Calibri" w:hAnsi="Calibri"/>
          <w:b w:val="false"/>
          <w:bCs w:val="false"/>
          <w:i w:val="false"/>
          <w:iCs w:val="false"/>
          <w:color w:val="000000"/>
          <w:sz w:val="22"/>
          <w:szCs w:val="22"/>
        </w:rPr>
        <w:t xml:space="preserve"/>
      </w:r>
    </w:p>
    <w:p>
      <w:pPr>
        <w:spacing w:after="40" w:before="40"/>
        <w:jc w:val="left"/>
      </w:pPr>
      <w:r>
        <w:rPr>
          <w:rFonts w:ascii="Calibri" w:cs="Calibri" w:eastAsia="Calibri" w:hAnsi="Calibri"/>
          <w:b w:val="false"/>
          <w:bCs w:val="false"/>
          <w:i/>
          <w:iCs/>
          <w:color w:val="000000"/>
          <w:sz w:val="22"/>
          <w:szCs w:val="22"/>
        </w:rPr>
        <w:t xml:space="preserve">For each of the 6 dimensions below, fill in: (a) the dimension name (use default or rename), (b) what it measures in 1–2 sentences, (c) a sub-floor / hard cap rule if applicable, and (d) the scoring anchors at 5 / 4 / 3 / 2 / 1 / 0.</w:t>
      </w:r>
    </w:p>
    <w:p>
      <w:pPr>
        <w:spacing w:after="0" w:before="8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60"/>
              <w:left w:type="dxa" w:w="140"/>
              <w:bottom w:type="dxa" w:w="60"/>
              <w:right w:type="dxa" w:w="140"/>
            </w:tcMar>
          </w:tcPr>
          <w:p>
            <w:pPr>
              <w:spacing w:after="60" w:before="60"/>
              <w:jc w:val="left"/>
            </w:pPr>
            <w:r>
              <w:rPr>
                <w:rFonts w:ascii="Calibri" w:cs="Calibri" w:eastAsia="Calibri" w:hAnsi="Calibri"/>
                <w:b/>
                <w:bCs/>
                <w:i w:val="false"/>
                <w:iCs w:val="false"/>
                <w:color w:val="FFFFFF"/>
                <w:sz w:val="22"/>
                <w:szCs w:val="22"/>
              </w:rPr>
              <w:t xml:space="preserve">Dimension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Dimension name</w:t>
            </w:r>
          </w:p>
          <w:p>
            <w:pPr>
              <w:spacing w:after="60" w:before="60"/>
              <w:jc w:val="left"/>
            </w:pPr>
            <w:r>
              <w:rPr>
                <w:rFonts w:ascii="Calibri" w:cs="Calibri" w:eastAsia="Calibri" w:hAnsi="Calibri"/>
                <w:b w:val="false"/>
                <w:bCs w:val="false"/>
                <w:i/>
                <w:iCs/>
                <w:color w:val="666666"/>
                <w:sz w:val="18"/>
                <w:szCs w:val="18"/>
              </w:rPr>
              <w:t xml:space="preserve">(use default or rename for your domain)</w:t>
            </w:r>
          </w:p>
        </w:tc>
        <w:tc>
          <w:tcPr>
            <w:tcW w:type="dxa" w:w="6360"/>
            <w:shd w:fill="FFFFFF" w:color="auto" w:val="clear"/>
            <w:tcMar>
              <w:top w:type="dxa" w:w="160"/>
              <w:left w:type="dxa" w:w="140"/>
              <w:bottom w:type="dxa" w:w="16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What it measures</w:t>
            </w:r>
          </w:p>
          <w:p>
            <w:pPr>
              <w:spacing w:after="60" w:before="60"/>
              <w:jc w:val="left"/>
            </w:pPr>
            <w:r>
              <w:rPr>
                <w:rFonts w:ascii="Calibri" w:cs="Calibri" w:eastAsia="Calibri" w:hAnsi="Calibri"/>
                <w:b w:val="false"/>
                <w:bCs w:val="false"/>
                <w:i/>
                <w:iCs/>
                <w:color w:val="666666"/>
                <w:sz w:val="18"/>
                <w:szCs w:val="18"/>
              </w:rPr>
              <w:t xml:space="preserve">(1–2 sentences)</w:t>
            </w:r>
          </w:p>
        </w:tc>
        <w:tc>
          <w:tcPr>
            <w:tcW w:type="dxa" w:w="6360"/>
            <w:shd w:fill="FFFFFF" w:color="auto" w:val="clear"/>
            <w:tcMar>
              <w:top w:type="dxa" w:w="240"/>
              <w:left w:type="dxa" w:w="140"/>
              <w:bottom w:type="dxa" w:w="24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Sub-floor / hard cap</w:t>
            </w:r>
          </w:p>
          <w:p>
            <w:pPr>
              <w:spacing w:after="60" w:before="60"/>
              <w:jc w:val="left"/>
            </w:pPr>
            <w:r>
              <w:rPr>
                <w:rFonts w:ascii="Calibri" w:cs="Calibri" w:eastAsia="Calibri" w:hAnsi="Calibri"/>
                <w:b w:val="false"/>
                <w:bCs w:val="false"/>
                <w:i/>
                <w:iCs/>
                <w:color w:val="666666"/>
                <w:sz w:val="18"/>
                <w:szCs w:val="18"/>
              </w:rPr>
              <w:t xml:space="preserve">(rule, or write "None")</w:t>
            </w:r>
          </w:p>
        </w:tc>
        <w:tc>
          <w:tcPr>
            <w:tcW w:type="dxa" w:w="63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Score</w:t>
            </w:r>
          </w:p>
        </w:tc>
        <w:tc>
          <w:tcPr>
            <w:tcW w:type="dxa" w:w="8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Anchor (what does this score look like?)</w:t>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5</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4</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3</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2</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1</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0</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1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60"/>
              <w:left w:type="dxa" w:w="140"/>
              <w:bottom w:type="dxa" w:w="60"/>
              <w:right w:type="dxa" w:w="140"/>
            </w:tcMar>
          </w:tcPr>
          <w:p>
            <w:pPr>
              <w:spacing w:after="60" w:before="60"/>
              <w:jc w:val="left"/>
            </w:pPr>
            <w:r>
              <w:rPr>
                <w:rFonts w:ascii="Calibri" w:cs="Calibri" w:eastAsia="Calibri" w:hAnsi="Calibri"/>
                <w:b/>
                <w:bCs/>
                <w:i w:val="false"/>
                <w:iCs w:val="false"/>
                <w:color w:val="FFFFFF"/>
                <w:sz w:val="22"/>
                <w:szCs w:val="22"/>
              </w:rPr>
              <w:t xml:space="preserve">Dimension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Dimension name</w:t>
            </w:r>
          </w:p>
          <w:p>
            <w:pPr>
              <w:spacing w:after="60" w:before="60"/>
              <w:jc w:val="left"/>
            </w:pPr>
            <w:r>
              <w:rPr>
                <w:rFonts w:ascii="Calibri" w:cs="Calibri" w:eastAsia="Calibri" w:hAnsi="Calibri"/>
                <w:b w:val="false"/>
                <w:bCs w:val="false"/>
                <w:i/>
                <w:iCs/>
                <w:color w:val="666666"/>
                <w:sz w:val="18"/>
                <w:szCs w:val="18"/>
              </w:rPr>
              <w:t xml:space="preserve">(use default or rename for your domain)</w:t>
            </w:r>
          </w:p>
        </w:tc>
        <w:tc>
          <w:tcPr>
            <w:tcW w:type="dxa" w:w="6360"/>
            <w:shd w:fill="FFFFFF" w:color="auto" w:val="clear"/>
            <w:tcMar>
              <w:top w:type="dxa" w:w="160"/>
              <w:left w:type="dxa" w:w="140"/>
              <w:bottom w:type="dxa" w:w="16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What it measures</w:t>
            </w:r>
          </w:p>
          <w:p>
            <w:pPr>
              <w:spacing w:after="60" w:before="60"/>
              <w:jc w:val="left"/>
            </w:pPr>
            <w:r>
              <w:rPr>
                <w:rFonts w:ascii="Calibri" w:cs="Calibri" w:eastAsia="Calibri" w:hAnsi="Calibri"/>
                <w:b w:val="false"/>
                <w:bCs w:val="false"/>
                <w:i/>
                <w:iCs/>
                <w:color w:val="666666"/>
                <w:sz w:val="18"/>
                <w:szCs w:val="18"/>
              </w:rPr>
              <w:t xml:space="preserve">(1–2 sentences)</w:t>
            </w:r>
          </w:p>
        </w:tc>
        <w:tc>
          <w:tcPr>
            <w:tcW w:type="dxa" w:w="6360"/>
            <w:shd w:fill="FFFFFF" w:color="auto" w:val="clear"/>
            <w:tcMar>
              <w:top w:type="dxa" w:w="240"/>
              <w:left w:type="dxa" w:w="140"/>
              <w:bottom w:type="dxa" w:w="24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Sub-floor / hard cap</w:t>
            </w:r>
          </w:p>
          <w:p>
            <w:pPr>
              <w:spacing w:after="60" w:before="60"/>
              <w:jc w:val="left"/>
            </w:pPr>
            <w:r>
              <w:rPr>
                <w:rFonts w:ascii="Calibri" w:cs="Calibri" w:eastAsia="Calibri" w:hAnsi="Calibri"/>
                <w:b w:val="false"/>
                <w:bCs w:val="false"/>
                <w:i/>
                <w:iCs/>
                <w:color w:val="666666"/>
                <w:sz w:val="18"/>
                <w:szCs w:val="18"/>
              </w:rPr>
              <w:t xml:space="preserve">(rule, or write "None")</w:t>
            </w:r>
          </w:p>
        </w:tc>
        <w:tc>
          <w:tcPr>
            <w:tcW w:type="dxa" w:w="63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Score</w:t>
            </w:r>
          </w:p>
        </w:tc>
        <w:tc>
          <w:tcPr>
            <w:tcW w:type="dxa" w:w="8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Anchor (what does this score look like?)</w:t>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5</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4</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3</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2</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1</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0</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1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60"/>
              <w:left w:type="dxa" w:w="140"/>
              <w:bottom w:type="dxa" w:w="60"/>
              <w:right w:type="dxa" w:w="140"/>
            </w:tcMar>
          </w:tcPr>
          <w:p>
            <w:pPr>
              <w:spacing w:after="60" w:before="60"/>
              <w:jc w:val="left"/>
            </w:pPr>
            <w:r>
              <w:rPr>
                <w:rFonts w:ascii="Calibri" w:cs="Calibri" w:eastAsia="Calibri" w:hAnsi="Calibri"/>
                <w:b/>
                <w:bCs/>
                <w:i w:val="false"/>
                <w:iCs w:val="false"/>
                <w:color w:val="FFFFFF"/>
                <w:sz w:val="22"/>
                <w:szCs w:val="22"/>
              </w:rPr>
              <w:t xml:space="preserve">Dimension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Dimension name</w:t>
            </w:r>
          </w:p>
          <w:p>
            <w:pPr>
              <w:spacing w:after="60" w:before="60"/>
              <w:jc w:val="left"/>
            </w:pPr>
            <w:r>
              <w:rPr>
                <w:rFonts w:ascii="Calibri" w:cs="Calibri" w:eastAsia="Calibri" w:hAnsi="Calibri"/>
                <w:b w:val="false"/>
                <w:bCs w:val="false"/>
                <w:i/>
                <w:iCs/>
                <w:color w:val="666666"/>
                <w:sz w:val="18"/>
                <w:szCs w:val="18"/>
              </w:rPr>
              <w:t xml:space="preserve">(use default or rename for your domain)</w:t>
            </w:r>
          </w:p>
        </w:tc>
        <w:tc>
          <w:tcPr>
            <w:tcW w:type="dxa" w:w="6360"/>
            <w:shd w:fill="FFFFFF" w:color="auto" w:val="clear"/>
            <w:tcMar>
              <w:top w:type="dxa" w:w="160"/>
              <w:left w:type="dxa" w:w="140"/>
              <w:bottom w:type="dxa" w:w="16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What it measures</w:t>
            </w:r>
          </w:p>
          <w:p>
            <w:pPr>
              <w:spacing w:after="60" w:before="60"/>
              <w:jc w:val="left"/>
            </w:pPr>
            <w:r>
              <w:rPr>
                <w:rFonts w:ascii="Calibri" w:cs="Calibri" w:eastAsia="Calibri" w:hAnsi="Calibri"/>
                <w:b w:val="false"/>
                <w:bCs w:val="false"/>
                <w:i/>
                <w:iCs/>
                <w:color w:val="666666"/>
                <w:sz w:val="18"/>
                <w:szCs w:val="18"/>
              </w:rPr>
              <w:t xml:space="preserve">(1–2 sentences)</w:t>
            </w:r>
          </w:p>
        </w:tc>
        <w:tc>
          <w:tcPr>
            <w:tcW w:type="dxa" w:w="6360"/>
            <w:shd w:fill="FFFFFF" w:color="auto" w:val="clear"/>
            <w:tcMar>
              <w:top w:type="dxa" w:w="240"/>
              <w:left w:type="dxa" w:w="140"/>
              <w:bottom w:type="dxa" w:w="24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Sub-floor / hard cap</w:t>
            </w:r>
          </w:p>
          <w:p>
            <w:pPr>
              <w:spacing w:after="60" w:before="60"/>
              <w:jc w:val="left"/>
            </w:pPr>
            <w:r>
              <w:rPr>
                <w:rFonts w:ascii="Calibri" w:cs="Calibri" w:eastAsia="Calibri" w:hAnsi="Calibri"/>
                <w:b w:val="false"/>
                <w:bCs w:val="false"/>
                <w:i/>
                <w:iCs/>
                <w:color w:val="666666"/>
                <w:sz w:val="18"/>
                <w:szCs w:val="18"/>
              </w:rPr>
              <w:t xml:space="preserve">(rule, or write "None")</w:t>
            </w:r>
          </w:p>
        </w:tc>
        <w:tc>
          <w:tcPr>
            <w:tcW w:type="dxa" w:w="63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Score</w:t>
            </w:r>
          </w:p>
        </w:tc>
        <w:tc>
          <w:tcPr>
            <w:tcW w:type="dxa" w:w="8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Anchor (what does this score look like?)</w:t>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5</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4</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3</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2</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1</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0</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1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60"/>
              <w:left w:type="dxa" w:w="140"/>
              <w:bottom w:type="dxa" w:w="60"/>
              <w:right w:type="dxa" w:w="140"/>
            </w:tcMar>
          </w:tcPr>
          <w:p>
            <w:pPr>
              <w:spacing w:after="60" w:before="60"/>
              <w:jc w:val="left"/>
            </w:pPr>
            <w:r>
              <w:rPr>
                <w:rFonts w:ascii="Calibri" w:cs="Calibri" w:eastAsia="Calibri" w:hAnsi="Calibri"/>
                <w:b/>
                <w:bCs/>
                <w:i w:val="false"/>
                <w:iCs w:val="false"/>
                <w:color w:val="FFFFFF"/>
                <w:sz w:val="22"/>
                <w:szCs w:val="22"/>
              </w:rPr>
              <w:t xml:space="preserve">Dimension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Dimension name</w:t>
            </w:r>
          </w:p>
          <w:p>
            <w:pPr>
              <w:spacing w:after="60" w:before="60"/>
              <w:jc w:val="left"/>
            </w:pPr>
            <w:r>
              <w:rPr>
                <w:rFonts w:ascii="Calibri" w:cs="Calibri" w:eastAsia="Calibri" w:hAnsi="Calibri"/>
                <w:b w:val="false"/>
                <w:bCs w:val="false"/>
                <w:i/>
                <w:iCs/>
                <w:color w:val="666666"/>
                <w:sz w:val="18"/>
                <w:szCs w:val="18"/>
              </w:rPr>
              <w:t xml:space="preserve">(use default or rename for your domain)</w:t>
            </w:r>
          </w:p>
        </w:tc>
        <w:tc>
          <w:tcPr>
            <w:tcW w:type="dxa" w:w="6360"/>
            <w:shd w:fill="FFFFFF" w:color="auto" w:val="clear"/>
            <w:tcMar>
              <w:top w:type="dxa" w:w="160"/>
              <w:left w:type="dxa" w:w="140"/>
              <w:bottom w:type="dxa" w:w="16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What it measures</w:t>
            </w:r>
          </w:p>
          <w:p>
            <w:pPr>
              <w:spacing w:after="60" w:before="60"/>
              <w:jc w:val="left"/>
            </w:pPr>
            <w:r>
              <w:rPr>
                <w:rFonts w:ascii="Calibri" w:cs="Calibri" w:eastAsia="Calibri" w:hAnsi="Calibri"/>
                <w:b w:val="false"/>
                <w:bCs w:val="false"/>
                <w:i/>
                <w:iCs/>
                <w:color w:val="666666"/>
                <w:sz w:val="18"/>
                <w:szCs w:val="18"/>
              </w:rPr>
              <w:t xml:space="preserve">(1–2 sentences)</w:t>
            </w:r>
          </w:p>
        </w:tc>
        <w:tc>
          <w:tcPr>
            <w:tcW w:type="dxa" w:w="6360"/>
            <w:shd w:fill="FFFFFF" w:color="auto" w:val="clear"/>
            <w:tcMar>
              <w:top w:type="dxa" w:w="240"/>
              <w:left w:type="dxa" w:w="140"/>
              <w:bottom w:type="dxa" w:w="24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Sub-floor / hard cap</w:t>
            </w:r>
          </w:p>
          <w:p>
            <w:pPr>
              <w:spacing w:after="60" w:before="60"/>
              <w:jc w:val="left"/>
            </w:pPr>
            <w:r>
              <w:rPr>
                <w:rFonts w:ascii="Calibri" w:cs="Calibri" w:eastAsia="Calibri" w:hAnsi="Calibri"/>
                <w:b w:val="false"/>
                <w:bCs w:val="false"/>
                <w:i/>
                <w:iCs/>
                <w:color w:val="666666"/>
                <w:sz w:val="18"/>
                <w:szCs w:val="18"/>
              </w:rPr>
              <w:t xml:space="preserve">(rule, or write "None")</w:t>
            </w:r>
          </w:p>
        </w:tc>
        <w:tc>
          <w:tcPr>
            <w:tcW w:type="dxa" w:w="63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Score</w:t>
            </w:r>
          </w:p>
        </w:tc>
        <w:tc>
          <w:tcPr>
            <w:tcW w:type="dxa" w:w="8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Anchor (what does this score look like?)</w:t>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5</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4</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3</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2</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1</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0</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1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60"/>
              <w:left w:type="dxa" w:w="140"/>
              <w:bottom w:type="dxa" w:w="60"/>
              <w:right w:type="dxa" w:w="140"/>
            </w:tcMar>
          </w:tcPr>
          <w:p>
            <w:pPr>
              <w:spacing w:after="60" w:before="60"/>
              <w:jc w:val="left"/>
            </w:pPr>
            <w:r>
              <w:rPr>
                <w:rFonts w:ascii="Calibri" w:cs="Calibri" w:eastAsia="Calibri" w:hAnsi="Calibri"/>
                <w:b/>
                <w:bCs/>
                <w:i w:val="false"/>
                <w:iCs w:val="false"/>
                <w:color w:val="FFFFFF"/>
                <w:sz w:val="22"/>
                <w:szCs w:val="22"/>
              </w:rPr>
              <w:t xml:space="preserve">Dimension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Dimension name</w:t>
            </w:r>
          </w:p>
          <w:p>
            <w:pPr>
              <w:spacing w:after="60" w:before="60"/>
              <w:jc w:val="left"/>
            </w:pPr>
            <w:r>
              <w:rPr>
                <w:rFonts w:ascii="Calibri" w:cs="Calibri" w:eastAsia="Calibri" w:hAnsi="Calibri"/>
                <w:b w:val="false"/>
                <w:bCs w:val="false"/>
                <w:i/>
                <w:iCs/>
                <w:color w:val="666666"/>
                <w:sz w:val="18"/>
                <w:szCs w:val="18"/>
              </w:rPr>
              <w:t xml:space="preserve">(use default or rename for your domain)</w:t>
            </w:r>
          </w:p>
        </w:tc>
        <w:tc>
          <w:tcPr>
            <w:tcW w:type="dxa" w:w="6360"/>
            <w:shd w:fill="FFFFFF" w:color="auto" w:val="clear"/>
            <w:tcMar>
              <w:top w:type="dxa" w:w="160"/>
              <w:left w:type="dxa" w:w="140"/>
              <w:bottom w:type="dxa" w:w="16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What it measures</w:t>
            </w:r>
          </w:p>
          <w:p>
            <w:pPr>
              <w:spacing w:after="60" w:before="60"/>
              <w:jc w:val="left"/>
            </w:pPr>
            <w:r>
              <w:rPr>
                <w:rFonts w:ascii="Calibri" w:cs="Calibri" w:eastAsia="Calibri" w:hAnsi="Calibri"/>
                <w:b w:val="false"/>
                <w:bCs w:val="false"/>
                <w:i/>
                <w:iCs/>
                <w:color w:val="666666"/>
                <w:sz w:val="18"/>
                <w:szCs w:val="18"/>
              </w:rPr>
              <w:t xml:space="preserve">(1–2 sentences)</w:t>
            </w:r>
          </w:p>
        </w:tc>
        <w:tc>
          <w:tcPr>
            <w:tcW w:type="dxa" w:w="6360"/>
            <w:shd w:fill="FFFFFF" w:color="auto" w:val="clear"/>
            <w:tcMar>
              <w:top w:type="dxa" w:w="240"/>
              <w:left w:type="dxa" w:w="140"/>
              <w:bottom w:type="dxa" w:w="24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Sub-floor / hard cap</w:t>
            </w:r>
          </w:p>
          <w:p>
            <w:pPr>
              <w:spacing w:after="60" w:before="60"/>
              <w:jc w:val="left"/>
            </w:pPr>
            <w:r>
              <w:rPr>
                <w:rFonts w:ascii="Calibri" w:cs="Calibri" w:eastAsia="Calibri" w:hAnsi="Calibri"/>
                <w:b w:val="false"/>
                <w:bCs w:val="false"/>
                <w:i/>
                <w:iCs/>
                <w:color w:val="666666"/>
                <w:sz w:val="18"/>
                <w:szCs w:val="18"/>
              </w:rPr>
              <w:t xml:space="preserve">(rule, or write "None")</w:t>
            </w:r>
          </w:p>
        </w:tc>
        <w:tc>
          <w:tcPr>
            <w:tcW w:type="dxa" w:w="63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Score</w:t>
            </w:r>
          </w:p>
        </w:tc>
        <w:tc>
          <w:tcPr>
            <w:tcW w:type="dxa" w:w="8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Anchor (what does this score look like?)</w:t>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5</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4</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3</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2</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1</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0</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1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60"/>
              <w:left w:type="dxa" w:w="140"/>
              <w:bottom w:type="dxa" w:w="60"/>
              <w:right w:type="dxa" w:w="140"/>
            </w:tcMar>
          </w:tcPr>
          <w:p>
            <w:pPr>
              <w:spacing w:after="60" w:before="60"/>
              <w:jc w:val="left"/>
            </w:pPr>
            <w:r>
              <w:rPr>
                <w:rFonts w:ascii="Calibri" w:cs="Calibri" w:eastAsia="Calibri" w:hAnsi="Calibri"/>
                <w:b/>
                <w:bCs/>
                <w:i w:val="false"/>
                <w:iCs w:val="false"/>
                <w:color w:val="FFFFFF"/>
                <w:sz w:val="22"/>
                <w:szCs w:val="22"/>
              </w:rPr>
              <w:t xml:space="preserve">Dimension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Dimension name</w:t>
            </w:r>
          </w:p>
          <w:p>
            <w:pPr>
              <w:spacing w:after="60" w:before="60"/>
              <w:jc w:val="left"/>
            </w:pPr>
            <w:r>
              <w:rPr>
                <w:rFonts w:ascii="Calibri" w:cs="Calibri" w:eastAsia="Calibri" w:hAnsi="Calibri"/>
                <w:b w:val="false"/>
                <w:bCs w:val="false"/>
                <w:i/>
                <w:iCs/>
                <w:color w:val="666666"/>
                <w:sz w:val="18"/>
                <w:szCs w:val="18"/>
              </w:rPr>
              <w:t xml:space="preserve">(use default or rename for your domain)</w:t>
            </w:r>
          </w:p>
        </w:tc>
        <w:tc>
          <w:tcPr>
            <w:tcW w:type="dxa" w:w="6360"/>
            <w:shd w:fill="FFFFFF" w:color="auto" w:val="clear"/>
            <w:tcMar>
              <w:top w:type="dxa" w:w="160"/>
              <w:left w:type="dxa" w:w="140"/>
              <w:bottom w:type="dxa" w:w="16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What it measures</w:t>
            </w:r>
          </w:p>
          <w:p>
            <w:pPr>
              <w:spacing w:after="60" w:before="60"/>
              <w:jc w:val="left"/>
            </w:pPr>
            <w:r>
              <w:rPr>
                <w:rFonts w:ascii="Calibri" w:cs="Calibri" w:eastAsia="Calibri" w:hAnsi="Calibri"/>
                <w:b w:val="false"/>
                <w:bCs w:val="false"/>
                <w:i/>
                <w:iCs/>
                <w:color w:val="666666"/>
                <w:sz w:val="18"/>
                <w:szCs w:val="18"/>
              </w:rPr>
              <w:t xml:space="preserve">(1–2 sentences)</w:t>
            </w:r>
          </w:p>
        </w:tc>
        <w:tc>
          <w:tcPr>
            <w:tcW w:type="dxa" w:w="6360"/>
            <w:shd w:fill="FFFFFF" w:color="auto" w:val="clear"/>
            <w:tcMar>
              <w:top w:type="dxa" w:w="240"/>
              <w:left w:type="dxa" w:w="140"/>
              <w:bottom w:type="dxa" w:w="24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Sub-floor / hard cap</w:t>
            </w:r>
          </w:p>
          <w:p>
            <w:pPr>
              <w:spacing w:after="60" w:before="60"/>
              <w:jc w:val="left"/>
            </w:pPr>
            <w:r>
              <w:rPr>
                <w:rFonts w:ascii="Calibri" w:cs="Calibri" w:eastAsia="Calibri" w:hAnsi="Calibri"/>
                <w:b w:val="false"/>
                <w:bCs w:val="false"/>
                <w:i/>
                <w:iCs/>
                <w:color w:val="666666"/>
                <w:sz w:val="18"/>
                <w:szCs w:val="18"/>
              </w:rPr>
              <w:t xml:space="preserve">(rule, or write "None")</w:t>
            </w:r>
          </w:p>
        </w:tc>
        <w:tc>
          <w:tcPr>
            <w:tcW w:type="dxa" w:w="63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4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Score</w:t>
            </w:r>
          </w:p>
        </w:tc>
        <w:tc>
          <w:tcPr>
            <w:tcW w:type="dxa" w:w="8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Anchor (what does this score look like?)</w:t>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5</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4</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3</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2</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4F4F4"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1</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1200"/>
            <w:shd w:fill="FFFFFF" w:color="auto" w:val="clear"/>
            <w:tcMar>
              <w:top w:type="dxa" w:w="80"/>
              <w:left w:type="dxa" w:w="140"/>
              <w:bottom w:type="dxa" w:w="80"/>
              <w:right w:type="dxa" w:w="140"/>
            </w:tcMar>
            <w:vAlign w:val="center"/>
          </w:tcPr>
          <w:p>
            <w:pPr>
              <w:spacing w:after="60" w:before="60"/>
              <w:jc w:val="center"/>
            </w:pPr>
            <w:r>
              <w:rPr>
                <w:rFonts w:ascii="Calibri" w:cs="Calibri" w:eastAsia="Calibri" w:hAnsi="Calibri"/>
                <w:b/>
                <w:bCs/>
                <w:i w:val="false"/>
                <w:iCs w:val="false"/>
                <w:color w:val="000000"/>
                <w:sz w:val="24"/>
                <w:szCs w:val="24"/>
              </w:rPr>
              <w:t xml:space="preserve">0</w:t>
            </w:r>
          </w:p>
        </w:tc>
        <w:tc>
          <w:tcPr>
            <w:tcW w:type="dxa" w:w="81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0" w:before="140"/>
        <w:jc w:val="left"/>
      </w:pPr>
      <w:r>
        <w:rPr>
          <w:rFonts w:ascii="Calibri" w:cs="Calibri" w:eastAsia="Calibri" w:hAnsi="Calibri"/>
          <w:b w:val="false"/>
          <w:bCs w:val="false"/>
          <w:i w:val="false"/>
          <w:iCs w:val="false"/>
          <w:color w:val="000000"/>
          <w:sz w:val="22"/>
          <w:szCs w:val="22"/>
        </w:rPr>
        <w:t xml:space="preserve"/>
      </w:r>
    </w:p>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5 — Group-Specific Filters / Flags /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TechGroup applies several non-negotiable filters during screening that cap an Opportunity score regardless of how the rest of the dimension reads (AI Wrapper Cap → Defensibility ≤ 2/5; TRL &lt; 5 → deal-stopper; Hardware Last Mile failure → cap on Founder Advantage). These are how a group encodes its hard-won pattern recognition into the screen. Your group probably has 2–5 of these.</w:t>
            </w:r>
          </w:p>
        </w:tc>
      </w:tr>
    </w:tbl>
    <w:p>
      <w:pPr>
        <w:spacing w:after="80" w:before="200"/>
      </w:pPr>
      <w:r>
        <w:rPr>
          <w:rFonts w:ascii="Calibri" w:cs="Calibri" w:eastAsia="Calibri" w:hAnsi="Calibri"/>
          <w:b/>
          <w:bCs/>
          <w:i w:val="false"/>
          <w:iCs w:val="false"/>
          <w:color w:val="1F3864"/>
          <w:sz w:val="24"/>
          <w:szCs w:val="24"/>
        </w:rPr>
        <w:t xml:space="preserve">Examples to prompt thinking (suggestive, not prescriptive)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Medical</w:t>
            </w:r>
          </w:p>
        </w:tc>
        <w:tc>
          <w:tcPr>
            <w:tcW w:type="dxa" w:w="76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FDA pathway gate (510(k) vs. PMA — affects time to revenue), clinical-data ownership cap (does the company own its outcomes data?), reimbursement-pathway flag (CPT code or no?)</w:t>
            </w:r>
          </w:p>
        </w:tc>
      </w:tr>
      <w:tr>
        <w:tc>
          <w:tcPr>
            <w:tcW w:type="dxa" w:w="17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Space</w:t>
            </w:r>
          </w:p>
        </w:tc>
        <w:tc>
          <w:tcPr>
            <w:tcW w:type="dxa" w:w="76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ITAR / dual-use export gate, anchor-customer government dependency flag (&gt;50% revenue from one government customer?), launch-cadence dependency cap</w:t>
            </w:r>
          </w:p>
        </w:tc>
      </w:tr>
      <w:tr>
        <w:tc>
          <w:tcPr>
            <w:tcW w:type="dxa" w:w="17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Consumer</w:t>
            </w:r>
          </w:p>
        </w:tc>
        <w:tc>
          <w:tcPr>
            <w:tcW w:type="dxa" w:w="76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Channel-economics floor (does the unit economics survive Amazon/retailer fees?), brand-defensibility cap (is the brand the only moat?), CAC payback ceiling</w:t>
            </w:r>
          </w:p>
        </w:tc>
      </w:tr>
      <w:tr>
        <w:tc>
          <w:tcPr>
            <w:tcW w:type="dxa" w:w="17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Industrial</w:t>
            </w:r>
          </w:p>
        </w:tc>
        <w:tc>
          <w:tcPr>
            <w:tcW w:type="dxa" w:w="76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Capital-intensity cap (is the BOM-to-ASP gap survivable?), customer-concentration flag (top-3 customers &gt; 60% of revenue?), supply-chain single-source flag</w:t>
            </w:r>
          </w:p>
        </w:tc>
      </w:tr>
      <w:tr>
        <w:tc>
          <w:tcPr>
            <w:tcW w:type="dxa" w:w="17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Fintech</w:t>
            </w:r>
          </w:p>
        </w:tc>
        <w:tc>
          <w:tcPr>
            <w:tcW w:type="dxa" w:w="76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Regulatory-license gate (BSA/AML, money transmitter, broker-dealer — has the company secured the licenses it needs?), KYC/AML maturity flag, partner-bank dependency cap</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5 of the reference file (AI Wrapper Cap, Goliath Test, Replicability Speed Flag, Hardware Last Mile Standard, TRL Hard Cap).</w:t>
      </w:r>
    </w:p>
    <w:p>
      <w:pPr>
        <w:spacing w:after="80" w:before="200"/>
      </w:pPr>
      <w:r>
        <w:rPr>
          <w:rFonts w:ascii="Calibri" w:cs="Calibri" w:eastAsia="Calibri" w:hAnsi="Calibri"/>
          <w:b/>
          <w:bCs/>
          <w:i w:val="false"/>
          <w:iCs w:val="false"/>
          <w:color w:val="1F3864"/>
          <w:sz w:val="24"/>
          <w:szCs w:val="24"/>
        </w:rPr>
        <w:t xml:space="preserve">Your filters / flags /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400"/>
        <w:gridCol w:w="2700"/>
        <w:gridCol w:w="1660"/>
      </w:tblGrid>
      <w:tr>
        <w:trPr>
          <w:tblHeader/>
        </w:trPr>
        <w:tc>
          <w:tcPr>
            <w:tcW w:type="dxa" w:w="5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w:t>
            </w:r>
          </w:p>
        </w:tc>
        <w:tc>
          <w:tcPr>
            <w:tcW w:type="dxa" w:w="21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Filter / Flag / Cap Name</w:t>
            </w:r>
          </w:p>
        </w:tc>
        <w:tc>
          <w:tcPr>
            <w:tcW w:type="dxa" w:w="24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What it tests</w:t>
            </w:r>
          </w:p>
        </w:tc>
        <w:tc>
          <w:tcPr>
            <w:tcW w:type="dxa" w:w="27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Cap effect (e.g., "Dimension X capped at 2/5", "DECLINE", "Yellow Flag")</w:t>
            </w:r>
          </w:p>
        </w:tc>
        <w:tc>
          <w:tcPr>
            <w:tcW w:type="dxa" w:w="16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Applies at Screen / Scout / Diligence</w:t>
            </w:r>
          </w:p>
        </w:tc>
      </w:tr>
      <w:tr>
        <w:tc>
          <w:tcPr>
            <w:tcW w:type="dxa" w:w="5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1</w:t>
            </w:r>
          </w:p>
        </w:tc>
        <w:tc>
          <w:tcPr>
            <w:tcW w:type="dxa" w:w="21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4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7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166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2</w:t>
            </w:r>
          </w:p>
        </w:tc>
        <w:tc>
          <w:tcPr>
            <w:tcW w:type="dxa" w:w="21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4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7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16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3</w:t>
            </w:r>
          </w:p>
        </w:tc>
        <w:tc>
          <w:tcPr>
            <w:tcW w:type="dxa" w:w="21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4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7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166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4</w:t>
            </w:r>
          </w:p>
        </w:tc>
        <w:tc>
          <w:tcPr>
            <w:tcW w:type="dxa" w:w="21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4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7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16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5</w:t>
            </w:r>
          </w:p>
        </w:tc>
        <w:tc>
          <w:tcPr>
            <w:tcW w:type="dxa" w:w="21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4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7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166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6 — Defensibility / Moat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The plugin applies a moat lens when assessing Defensibility (Opportunity Dimension 4) and when generating moat narratives in the Scout, DD Report, and Memo. TechGroup uses the AI Moats Framework (ai-moats-framework.md) — three moat archetypes (Cognitive/Data Moat, Capital &amp; Compute Moat, Vertical/Workflow Moat) plus a Replicability Speed Matrix. Your group needs to articulate what "moat" means in your domain so the plugin doesn't apply TechGroup's AI-flavored lens to a Medical or Space deal where it doesn't fit.</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6 of the reference file (3 AI moat types + Replicability Speed Matrix + Memory Lock-in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Field</w:t>
            </w:r>
          </w:p>
        </w:tc>
        <w:tc>
          <w:tcPr>
            <w:tcW w:type="dxa" w:w="5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Your Answer</w:t>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2–4 moat archetypes that matter most in this domain (name + 2-sentence description each)</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What "Structural Discontinuity" means in this domain (what kind of market shift counts as a real discontinuity for your deals?)</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What "Memory Lock-in" or its equivalent looks like in your domain (what kind of customer-side accumulation creates real switching cost?)</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Should ai-moats-framework.md be loaded for some of your group's deals (e.g., AI-enabled subset)? Yes / No / Conditional</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Do you need a separate group-specific moats reference doc? Yes / No (if yes, sketch the outline in 5–10 bullets)</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7 — Themes &amp; 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Every NWAi group organizes its deal flow into 5–8 investment themes. The plugin uses theme assignment in Scout reports to map deals to the right Lead and SMEs.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000000"/>
                <w:sz w:val="22"/>
                <w:szCs w:val="22"/>
              </w:rPr>
              <w:t xml:space="preserve">Lead and SME slots: </w:t>
            </w:r>
            <w:r>
              <w:rPr>
                <w:rFonts w:ascii="Calibri" w:cs="Calibri" w:eastAsia="Calibri" w:hAnsi="Calibri"/>
                <w:b w:val="false"/>
                <w:bCs w:val="false"/>
                <w:i w:val="false"/>
                <w:iCs w:val="false"/>
                <w:color w:val="000000"/>
                <w:sz w:val="22"/>
                <w:szCs w:val="22"/>
              </w:rPr>
              <w:t xml:space="preserve">Leave as "TBD — Pending Dealum API" for now. The plugin already uses this convention for TechGroup until the Dealum member-to-domain mapping is wired up. Just provide the themes themselves; the people-mapping comes later.</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7 of the reference file (5 themes from CLAUDE.md).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360"/>
        <w:gridCol w:w="2300"/>
      </w:tblGrid>
      <w:tr>
        <w:trPr>
          <w:tblHeader/>
        </w:trPr>
        <w:tc>
          <w:tcPr>
            <w:tcW w:type="dxa" w:w="5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w:t>
            </w:r>
          </w:p>
        </w:tc>
        <w:tc>
          <w:tcPr>
            <w:tcW w:type="dxa" w:w="2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Theme Name</w:t>
            </w:r>
          </w:p>
        </w:tc>
        <w:tc>
          <w:tcPr>
            <w:tcW w:type="dxa" w:w="43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1–2 sentence definition</w:t>
            </w:r>
          </w:p>
        </w:tc>
        <w:tc>
          <w:tcPr>
            <w:tcW w:type="dxa" w:w="23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1"/>
                <w:szCs w:val="21"/>
              </w:rPr>
              <w:t xml:space="preserve">Example deal types</w:t>
            </w:r>
          </w:p>
        </w:tc>
      </w:tr>
      <w:tr>
        <w:tc>
          <w:tcPr>
            <w:tcW w:type="dxa" w:w="5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1</w:t>
            </w:r>
          </w:p>
        </w:tc>
        <w:tc>
          <w:tcPr>
            <w:tcW w:type="dxa" w:w="22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2</w:t>
            </w:r>
          </w:p>
        </w:tc>
        <w:tc>
          <w:tcPr>
            <w:tcW w:type="dxa" w:w="22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3</w:t>
            </w:r>
          </w:p>
        </w:tc>
        <w:tc>
          <w:tcPr>
            <w:tcW w:type="dxa" w:w="22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4</w:t>
            </w:r>
          </w:p>
        </w:tc>
        <w:tc>
          <w:tcPr>
            <w:tcW w:type="dxa" w:w="22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5</w:t>
            </w:r>
          </w:p>
        </w:tc>
        <w:tc>
          <w:tcPr>
            <w:tcW w:type="dxa" w:w="22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6</w:t>
            </w:r>
          </w:p>
        </w:tc>
        <w:tc>
          <w:tcPr>
            <w:tcW w:type="dxa" w:w="22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7</w:t>
            </w:r>
          </w:p>
        </w:tc>
        <w:tc>
          <w:tcPr>
            <w:tcW w:type="dxa" w:w="22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4F4F4"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5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8</w:t>
            </w:r>
          </w:p>
        </w:tc>
        <w:tc>
          <w:tcPr>
            <w:tcW w:type="dxa" w:w="22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436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c>
          <w:tcPr>
            <w:tcW w:type="dxa" w:w="2300"/>
            <w:shd w:fill="FFFFFF" w:color="auto" w:val="clear"/>
            <w:tcMar>
              <w:top w:type="dxa" w:w="180"/>
              <w:left w:type="dxa" w:w="140"/>
              <w:bottom w:type="dxa" w:w="1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spacing w:after="60" w:before="40"/>
        <w:jc w:val="left"/>
      </w:pPr>
      <w:r>
        <w:rPr>
          <w:rFonts w:ascii="Calibri" w:cs="Calibri" w:eastAsia="Calibri" w:hAnsi="Calibri"/>
          <w:b w:val="false"/>
          <w:bCs w:val="false"/>
          <w:i/>
          <w:iCs/>
          <w:color w:val="666666"/>
          <w:sz w:val="20"/>
          <w:szCs w:val="20"/>
        </w:rPr>
        <w:t xml:space="preserve">Rows 6–8 are optional — most groups land at 5 themes.</w:t>
      </w:r>
    </w:p>
    <w:p>
      <w:pPr>
        <w:pBdr>
          <w:bottom w:val="single" w:color="1F3864" w:sz="8" w:space="4"/>
        </w:pBdr>
        <w:spacing w:after="120" w:before="360"/>
      </w:pPr>
      <w:r>
        <w:rPr>
          <w:rFonts w:ascii="Calibri" w:cs="Calibri" w:eastAsia="Calibri" w:hAnsi="Calibri"/>
          <w:b/>
          <w:bCs/>
          <w:i w:val="false"/>
          <w:iCs w:val="false"/>
          <w:color w:val="1F3864"/>
          <w:sz w:val="32"/>
          <w:szCs w:val="32"/>
        </w:rPr>
        <w:t xml:space="preserve">Section 8 — Group-Specialist Agent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7A4F01"/>
                <w:sz w:val="22"/>
                <w:szCs w:val="22"/>
              </w:rPr>
              <w:t xml:space="preserve">(Optional) </w:t>
            </w:r>
            <w:r>
              <w:rPr>
                <w:rFonts w:ascii="Calibri" w:cs="Calibri" w:eastAsia="Calibri" w:hAnsi="Calibri"/>
                <w:b w:val="false"/>
                <w:bCs w:val="false"/>
                <w:i w:val="false"/>
                <w:iCs w:val="false"/>
                <w:color w:val="7A4F01"/>
                <w:sz w:val="22"/>
                <w:szCs w:val="22"/>
              </w:rPr>
              <w:t xml:space="preserve">Skip Section 8 if it does not apply to your group. The universal default will take 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1F3864"/>
                <w:sz w:val="22"/>
                <w:szCs w:val="22"/>
              </w:rPr>
              <w:t xml:space="preserve">What this is for. </w:t>
            </w:r>
            <w:r>
              <w:rPr>
                <w:rFonts w:ascii="Calibri" w:cs="Calibri" w:eastAsia="Calibri" w:hAnsi="Calibri"/>
                <w:b w:val="false"/>
                <w:bCs w:val="false"/>
                <w:i w:val="false"/>
                <w:iCs w:val="false"/>
                <w:color w:val="1F3864"/>
                <w:sz w:val="22"/>
                <w:szCs w:val="22"/>
              </w:rPr>
              <w:t xml:space="preserve">The plugin has 9 research agents today. 7 are group-agnostic and run for every deal regardless of group. 1 is TechGroup-specialized (technical-diligence). Your group may need its own specialist agent — or it may be fine using technical-diligence as-is, or it may not need a specialist agent at all.</w:t>
            </w:r>
          </w:p>
        </w:tc>
      </w:tr>
    </w:tbl>
    <w:p>
      <w:pPr>
        <w:spacing w:after="80" w:before="200"/>
      </w:pPr>
      <w:r>
        <w:rPr>
          <w:rFonts w:ascii="Calibri" w:cs="Calibri" w:eastAsia="Calibri" w:hAnsi="Calibri"/>
          <w:b/>
          <w:bCs/>
          <w:i w:val="false"/>
          <w:iCs w:val="false"/>
          <w:color w:val="1F3864"/>
          <w:sz w:val="24"/>
          <w:szCs w:val="24"/>
        </w:rPr>
        <w:t xml:space="preserve">Group-agnostic agents (run for every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company-researcher</w:t>
            </w:r>
          </w:p>
        </w:tc>
        <w:tc>
          <w:tcPr>
            <w:tcW w:type="dxa" w:w="63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PMTF + founder verification</w:t>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market-analyst</w:t>
            </w:r>
          </w:p>
        </w:tc>
        <w:tc>
          <w:tcPr>
            <w:tcW w:type="dxa" w:w="63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TAM/SAM, structural discontinuity, timing</w:t>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competitive-intelligence</w:t>
            </w:r>
          </w:p>
        </w:tc>
        <w:tc>
          <w:tcPr>
            <w:tcW w:type="dxa" w:w="63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competitors, incumbents</w:t>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risk-assessor</w:t>
            </w:r>
          </w:p>
        </w:tc>
        <w:tc>
          <w:tcPr>
            <w:tcW w:type="dxa" w:w="63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regulatory, exit, execution</w:t>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pricing-analyst</w:t>
            </w:r>
          </w:p>
        </w:tc>
        <w:tc>
          <w:tcPr>
            <w:tcW w:type="dxa" w:w="63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pricing maturity, unit economics, channel</w:t>
            </w:r>
          </w:p>
        </w:tc>
      </w:tr>
      <w:tr>
        <w:tc>
          <w:tcPr>
            <w:tcW w:type="dxa" w:w="30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forecasting-analyst</w:t>
            </w:r>
          </w:p>
        </w:tc>
        <w:tc>
          <w:tcPr>
            <w:tcW w:type="dxa" w:w="63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independent 5-yr forecast (McMurry method)</w:t>
            </w:r>
          </w:p>
        </w:tc>
      </w:tr>
      <w:tr>
        <w:tc>
          <w:tcPr>
            <w:tcW w:type="dxa" w:w="30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venture-analyst</w:t>
            </w:r>
          </w:p>
        </w:tc>
        <w:tc>
          <w:tcPr>
            <w:tcW w:type="dxa" w:w="63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valuation, hurdle test, deal structure</w:t>
            </w:r>
          </w:p>
        </w:tc>
      </w:tr>
    </w:tbl>
    <w:p>
      <w:pPr>
        <w:spacing w:after="80" w:before="200"/>
      </w:pPr>
      <w:r>
        <w:rPr>
          <w:rFonts w:ascii="Calibri" w:cs="Calibri" w:eastAsia="Calibri" w:hAnsi="Calibri"/>
          <w:b/>
          <w:bCs/>
          <w:i w:val="false"/>
          <w:iCs w:val="false"/>
          <w:color w:val="1F3864"/>
          <w:sz w:val="24"/>
          <w:szCs w:val="24"/>
        </w:rPr>
        <w:t xml:space="preserve">Examples that would warrant a specialist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Medical</w:t>
            </w:r>
          </w:p>
        </w:tc>
        <w:tc>
          <w:tcPr>
            <w:tcW w:type="dxa" w:w="76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regulatory-diligence — FDA pathway evaluation, clinical trial design, reimbursement landscape, IP/patent in pharma/devices</w:t>
            </w:r>
          </w:p>
        </w:tc>
      </w:tr>
      <w:tr>
        <w:tc>
          <w:tcPr>
            <w:tcW w:type="dxa" w:w="17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Space</w:t>
            </w:r>
          </w:p>
        </w:tc>
        <w:tc>
          <w:tcPr>
            <w:tcW w:type="dxa" w:w="76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mission-fit — ITAR/dual-use posture, government program alignment, launch-cadence assumptions, anchor-customer analysis</w:t>
            </w:r>
          </w:p>
        </w:tc>
      </w:tr>
      <w:tr>
        <w:tc>
          <w:tcPr>
            <w:tcW w:type="dxa" w:w="17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Consumer</w:t>
            </w:r>
          </w:p>
        </w:tc>
        <w:tc>
          <w:tcPr>
            <w:tcW w:type="dxa" w:w="76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channel-economics — Amazon/retailer margin structure, brand defensibility, CAC/LTV in DTC vs. wholesale</w:t>
            </w:r>
          </w:p>
        </w:tc>
      </w:tr>
      <w:tr>
        <w:tc>
          <w:tcPr>
            <w:tcW w:type="dxa" w:w="1700"/>
            <w:shd w:fill="FFFFFF"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Industrial</w:t>
            </w:r>
          </w:p>
        </w:tc>
        <w:tc>
          <w:tcPr>
            <w:tcW w:type="dxa" w:w="766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manufacturing-diligence — supply chain, contract manufacturing fit, capital-intensity modeling, customer concentration</w:t>
            </w:r>
          </w:p>
        </w:tc>
      </w:tr>
      <w:tr>
        <w:tc>
          <w:tcPr>
            <w:tcW w:type="dxa" w:w="1700"/>
            <w:shd w:fill="F4F4F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000000"/>
                <w:sz w:val="22"/>
                <w:szCs w:val="22"/>
              </w:rPr>
              <w:t xml:space="preserve">Fintech</w:t>
            </w:r>
          </w:p>
        </w:tc>
        <w:tc>
          <w:tcPr>
            <w:tcW w:type="dxa" w:w="766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regulatory-diligence — license posture, partner-bank dependency, KYC/AML maturity, BSA program</w:t>
            </w:r>
          </w:p>
        </w:tc>
      </w:tr>
    </w:tbl>
    <w:p>
      <w:pPr>
        <w:spacing w:after="120" w:before="60"/>
        <w:jc w:val="left"/>
      </w:pPr>
      <w:r>
        <w:rPr>
          <w:rFonts w:ascii="Calibri" w:cs="Calibri" w:eastAsia="Calibri" w:hAnsi="Calibri"/>
          <w:b/>
          <w:bCs/>
          <w:i/>
          <w:iCs/>
          <w:color w:val="666666"/>
          <w:sz w:val="20"/>
          <w:szCs w:val="20"/>
        </w:rPr>
        <w:t xml:space="preserve">TechGroup reference: </w:t>
      </w:r>
      <w:r>
        <w:rPr>
          <w:rFonts w:ascii="Calibri" w:cs="Calibri" w:eastAsia="Calibri" w:hAnsi="Calibri"/>
          <w:b w:val="false"/>
          <w:bCs w:val="false"/>
          <w:i/>
          <w:iCs/>
          <w:color w:val="666666"/>
          <w:sz w:val="20"/>
          <w:szCs w:val="20"/>
        </w:rPr>
        <w:t xml:space="preserve">Section 8 of the reference file (technical-diligence agent summary).</w:t>
      </w:r>
    </w:p>
    <w:p>
      <w:pPr>
        <w:spacing w:after="80" w:before="200"/>
      </w:pPr>
      <w:r>
        <w:rPr>
          <w:rFonts w:ascii="Calibri" w:cs="Calibri" w:eastAsia="Calibri" w:hAnsi="Calibri"/>
          <w:b/>
          <w:bCs/>
          <w:i w:val="false"/>
          <w:iCs w:val="false"/>
          <w:color w:val="1F3864"/>
          <w:sz w:val="24"/>
          <w:szCs w:val="24"/>
        </w:rPr>
        <w:t xml:space="preserve">Your specialist-agent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Field</w:t>
            </w:r>
          </w:p>
        </w:tc>
        <w:tc>
          <w:tcPr>
            <w:tcW w:type="dxa" w:w="5160"/>
            <w:shd w:fill="1F3864" w:color="auto" w:val="clear"/>
            <w:tcMar>
              <w:top w:type="dxa" w:w="80"/>
              <w:left w:type="dxa" w:w="140"/>
              <w:bottom w:type="dxa" w:w="80"/>
              <w:right w:type="dxa" w:w="140"/>
            </w:tcMar>
          </w:tcPr>
          <w:p>
            <w:pPr>
              <w:spacing w:after="60" w:before="60"/>
              <w:jc w:val="left"/>
            </w:pPr>
            <w:r>
              <w:rPr>
                <w:rFonts w:ascii="Calibri" w:cs="Calibri" w:eastAsia="Calibri" w:hAnsi="Calibri"/>
                <w:b/>
                <w:bCs/>
                <w:i w:val="false"/>
                <w:iCs w:val="false"/>
                <w:color w:val="FFFFFF"/>
                <w:sz w:val="22"/>
                <w:szCs w:val="22"/>
              </w:rPr>
              <w:t xml:space="preserve">Your Answer</w:t>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Does your group need a domain-specialist agent? (Yes — new agent / Yes — technical-diligence is sufficient / No — no specialist needed)</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new agent: proposed agent name (lowercase-hyphen)</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new agent: 3–5 bullets on what it researches</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new agent: 3–5 bullets on what input data it consumes (deal room files, web research, founder interviews, etc.)</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4F4F4"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new agent: what its output briefing looks like (which DD Report sections does it feed?)</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r>
        <w:tc>
          <w:tcPr>
            <w:tcW w:type="dxa" w:w="4200"/>
            <w:shd w:fill="FFFFFF" w:color="auto" w:val="clear"/>
            <w:tcMar>
              <w:top w:type="dxa" w:w="80"/>
              <w:left w:type="dxa" w:w="140"/>
              <w:bottom w:type="dxa" w:w="8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If new agent: at which stage(s) does it run? (Scout light / Diligence full / both)</w:t>
            </w:r>
          </w:p>
        </w:tc>
        <w:tc>
          <w:tcPr>
            <w:tcW w:type="dxa" w:w="5160"/>
            <w:shd w:fill="FFFFFF" w:color="auto" w:val="clear"/>
            <w:tcMar>
              <w:top w:type="dxa" w:w="200"/>
              <w:left w:type="dxa" w:w="140"/>
              <w:bottom w:type="dxa" w:w="200"/>
              <w:right w:type="dxa" w:w="140"/>
            </w:tcMar>
          </w:tcPr>
          <w:p>
            <w:pPr>
              <w:spacing w:after="60" w:before="60"/>
              <w:jc w:val="left"/>
            </w:pPr>
            <w:r>
              <w:rPr>
                <w:rFonts w:ascii="Calibri" w:cs="Calibri" w:eastAsia="Calibri" w:hAnsi="Calibri"/>
                <w:b w:val="false"/>
                <w:bCs w:val="false"/>
                <w:i w:val="false"/>
                <w:iCs w:val="false"/>
                <w:color w:val="000000"/>
                <w:sz w:val="22"/>
                <w:szCs w:val="22"/>
              </w:rPr>
              <w:t xml:space="preserve"/>
            </w:r>
          </w:p>
        </w:tc>
      </w:tr>
    </w:tbl>
    <w:p>
      <w:pPr>
        <w:pBdr>
          <w:bottom w:val="single" w:color="1F3864" w:sz="8" w:space="4"/>
        </w:pBdr>
        <w:spacing w:after="120" w:before="360"/>
      </w:pPr>
      <w:r>
        <w:rPr>
          <w:rFonts w:ascii="Calibri" w:cs="Calibri" w:eastAsia="Calibri" w:hAnsi="Calibri"/>
          <w:b/>
          <w:bCs/>
          <w:i w:val="false"/>
          <w:iCs w:val="false"/>
          <w:color w:val="1F3864"/>
          <w:sz w:val="32"/>
          <w:szCs w:val="32"/>
        </w:rPr>
        <w:t xml:space="preserve">Submission</w:t>
      </w:r>
    </w:p>
    <w:p>
      <w:pPr>
        <w:spacing w:after="40" w:before="40"/>
        <w:jc w:val="left"/>
      </w:pPr>
      <w:r>
        <w:rPr>
          <w:rFonts w:ascii="Calibri" w:cs="Calibri" w:eastAsia="Calibri" w:hAnsi="Calibri"/>
          <w:b w:val="false"/>
          <w:bCs w:val="false"/>
          <w:i w:val="false"/>
          <w:iCs w:val="false"/>
          <w:color w:val="000000"/>
          <w:sz w:val="22"/>
          <w:szCs w:val="22"/>
        </w:rPr>
        <w:t xml:space="preserve">When you've completed this questionnaire, save it as:</w:t>
      </w:r>
    </w:p>
    <w:p>
      <w:pPr>
        <w:spacing w:after="60" w:before="60"/>
        <w:jc w:val="left"/>
      </w:pPr>
      <w:r>
        <w:rPr>
          <w:rFonts w:ascii="Consolas" w:cs="Consolas" w:eastAsia="Consolas" w:hAnsi="Consolas"/>
          <w:b/>
          <w:bCs/>
          <w:i w:val="false"/>
          <w:iCs w:val="false"/>
          <w:color w:val="000000"/>
          <w:sz w:val="22"/>
          <w:szCs w:val="22"/>
        </w:rPr>
        <w:t xml:space="preserve">NWAi-Group-Playbook-Intake-&lt;GroupName&gt;.docx</w:t>
      </w:r>
    </w:p>
    <w:p>
      <w:pPr>
        <w:spacing w:after="40" w:before="40"/>
        <w:jc w:val="left"/>
      </w:pPr>
      <w:r>
        <w:rPr>
          <w:rFonts w:ascii="Calibri" w:cs="Calibri" w:eastAsia="Calibri" w:hAnsi="Calibri"/>
          <w:b w:val="false"/>
          <w:bCs w:val="false"/>
          <w:i w:val="false"/>
          <w:iCs w:val="false"/>
          <w:color w:val="000000"/>
          <w:sz w:val="22"/>
          <w:szCs w:val="22"/>
        </w:rPr>
        <w:t xml:space="preserve">…and notify Jamie. He'll translate your answers into the runtime files the plugin needs. Expect one or two clarifying-question rounds before the group goes live in the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E" w:color="auto" w:val="clear"/>
            <w:tcMar>
              <w:top w:type="dxa" w:w="100"/>
              <w:left w:type="dxa" w:w="200"/>
              <w:bottom w:type="dxa" w:w="100"/>
              <w:right w:type="dxa" w:w="200"/>
            </w:tcMar>
          </w:tcPr>
          <w:p>
            <w:pPr>
              <w:spacing w:after="0" w:before="0"/>
              <w:jc w:val="left"/>
            </w:pPr>
            <w:r>
              <w:rPr>
                <w:rFonts w:ascii="Calibri" w:cs="Calibri" w:eastAsia="Calibri" w:hAnsi="Calibri"/>
                <w:b/>
                <w:bCs/>
                <w:i w:val="false"/>
                <w:iCs w:val="false"/>
                <w:color w:val="000000"/>
                <w:sz w:val="22"/>
                <w:szCs w:val="22"/>
              </w:rPr>
              <w:t xml:space="preserve">You will not be asked to write plugin code. </w:t>
            </w:r>
            <w:r>
              <w:rPr>
                <w:rFonts w:ascii="Calibri" w:cs="Calibri" w:eastAsia="Calibri" w:hAnsi="Calibri"/>
                <w:b w:val="false"/>
                <w:bCs w:val="false"/>
                <w:i w:val="false"/>
                <w:iCs w:val="false"/>
                <w:color w:val="000000"/>
                <w:sz w:val="22"/>
                <w:szCs w:val="22"/>
              </w:rPr>
              <w:t xml:space="preserve">Your deliverable is this filled-out questionnaire. The plugin maintainer takes it from there.</w:t>
            </w:r>
          </w:p>
        </w:tc>
      </w:tr>
    </w:tbl>
    <w:p>
      <w:pPr>
        <w:spacing w:after="0" w:before="200"/>
        <w:jc w:val="left"/>
      </w:pPr>
      <w:r>
        <w:rPr>
          <w:rFonts w:ascii="Calibri" w:cs="Calibri" w:eastAsia="Calibri" w:hAnsi="Calibri"/>
          <w:b w:val="false"/>
          <w:bCs w:val="false"/>
          <w:i w:val="false"/>
          <w:iCs w:val="false"/>
          <w:color w:val="000000"/>
          <w:sz w:val="22"/>
          <w:szCs w:val="22"/>
        </w:rPr>
        <w:t xml:space="preserve"/>
      </w:r>
    </w:p>
    <w:p>
      <w:pPr>
        <w:spacing w:after="0" w:before="120"/>
        <w:jc w:val="center"/>
      </w:pPr>
      <w:r>
        <w:rPr>
          <w:rFonts w:ascii="Calibri" w:cs="Calibri" w:eastAsia="Calibri" w:hAnsi="Calibri"/>
          <w:b w:val="false"/>
          <w:bCs w:val="false"/>
          <w:i/>
          <w:iCs/>
          <w:color w:val="666666"/>
          <w:sz w:val="18"/>
          <w:szCs w:val="18"/>
        </w:rPr>
        <w:t xml:space="preserve">NWAi Investment Intelligence Platform  |  Group Intake v1.0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Group Playbook Intake v1.0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NWAi — Group Playbook Intake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NWAi Group Playbook — Intake Questionnaire</dc:title>
  <dc:creator>NWAi Investment Intelligence Platform</dc:creator>
  <dc:description>Group Chair intake questionnaire for extending the NWAi plugin to all 6 NWAi groups.</dc:description>
  <cp:lastModifiedBy>Un-named</cp:lastModifiedBy>
  <cp:revision>1</cp:revision>
  <dcterms:created xsi:type="dcterms:W3CDTF">2026-05-08T13:15:05.103Z</dcterms:created>
  <dcterms:modified xsi:type="dcterms:W3CDTF">2026-05-08T13:15:05.108Z</dcterms:modified>
</cp:coreProperties>
</file>

<file path=docProps/custom.xml><?xml version="1.0" encoding="utf-8"?>
<Properties xmlns="http://schemas.openxmlformats.org/officeDocument/2006/custom-properties" xmlns:vt="http://schemas.openxmlformats.org/officeDocument/2006/docPropsVTypes"/>
</file>