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000000"/>
          <w:sz w:val="28"/>
          <w:szCs w:val="28"/>
        </w:rPr>
        <w:t xml:space="preserve">NWAi TechGroup — Due Diligence Investment Report</w:t>
      </w:r>
    </w:p>
    <w:p>
      <w:pPr>
        <w:spacing w:after="160" w:before="0"/>
        <w:jc w:val="left"/>
      </w:pPr>
      <w:r>
        <w:rPr>
          <w:rFonts w:ascii="Arial" w:cs="Arial" w:eastAsia="Arial" w:hAnsi="Arial"/>
          <w:b/>
          <w:bCs/>
          <w:color w:val="000000"/>
          <w:sz w:val="24"/>
          <w:szCs w:val="24"/>
        </w:rPr>
        <w:t xml:space="preserve">Summit Technology Laboratory (STL)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5E9" w:color="auto" w:val="clear"/>
            <w:tcMar>
              <w:top w:type="dxa" w:w="100"/>
              <w:left w:type="dxa" w:w="160"/>
              <w:bottom w:type="dxa" w:w="100"/>
              <w:right w:type="dxa" w:w="160"/>
            </w:tcMar>
          </w:tcPr>
          <w:p>
            <w:pPr>
              <w:spacing w:after="60" w:before="60"/>
              <w:jc w:val="left"/>
            </w:pPr>
            <w:r>
              <w:rPr>
                <w:rFonts w:ascii="Arial" w:cs="Arial" w:eastAsia="Arial" w:hAnsi="Arial"/>
                <w:b/>
                <w:bCs/>
                <w:color w:val="000000"/>
                <w:sz w:val="24"/>
                <w:szCs w:val="24"/>
              </w:rPr>
              <w:t xml:space="preserve">NWAi RECOMMENDATION: ☒ INVEST — Conditional | Summit Technology Laboratory (STL)</w:t>
            </w:r>
          </w:p>
          <w:p>
            <w:pPr>
              <w:spacing w:after="60" w:before="40"/>
              <w:jc w:val="left"/>
            </w:pPr>
            <w:r>
              <w:rPr>
                <w:rFonts w:ascii="Arial" w:cs="Arial" w:eastAsia="Arial" w:hAnsi="Arial"/>
                <w:b w:val="false"/>
                <w:bCs w:val="false"/>
                <w:color w:val="000000"/>
                <w:sz w:val="22"/>
                <w:szCs w:val="22"/>
              </w:rPr>
              <w:t xml:space="preserve">Invest contingent on: (1) bridge round closing with remaining $290K confirmed funded by April 30, 2026; (2) ARR composition confirmed with ≥40% recurring SaaS/AMC revenue; (3) legal review of 1.5× liquidation preference — request reduction to 1.0× or removal; and (4) UCI patent license change-of-control transfer provisions reviewed by NWAi counsel.</w:t>
            </w:r>
          </w:p>
        </w:tc>
      </w:tr>
    </w:tbl>
    <w:p>
      <w:pPr>
        <w:spacing w:after="40" w:before="40"/>
        <w:jc w:val="left"/>
      </w:pPr>
      <w:r>
        <w:rPr>
          <w:rFonts w:ascii="Arial" w:cs="Arial" w:eastAsia="Arial" w:hAnsi="Arial"/>
          <w:b w:val="false"/>
          <w:bCs w:val="false"/>
          <w:color w:val="000000"/>
          <w:sz w:val="22"/>
          <w:szCs w:val="22"/>
        </w:rPr>
        <w:t xml:space="preserve"/>
      </w:r>
    </w:p>
    <w:p>
      <w:pPr>
        <w:spacing w:after="160" w:before="0"/>
        <w:jc w:val="left"/>
      </w:pPr>
      <w:r>
        <w:rPr>
          <w:rFonts w:ascii="Arial" w:cs="Arial" w:eastAsia="Arial" w:hAnsi="Arial"/>
          <w:b w:val="false"/>
          <w:bCs w:val="false"/>
          <w:color w:val="666666"/>
          <w:sz w:val="18"/>
          <w:szCs w:val="18"/>
        </w:rPr>
        <w:t xml:space="preserve">Scoring: 1 (lowest) to 5 (highest)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3320"/>
        <w:gridCol w:w="1360"/>
        <w:gridCol w:w="3320"/>
      </w:tblGrid>
      <w:tr>
        <w:tc>
          <w:tcPr>
            <w:tcW w:type="dxa" w:w="9360"/>
            <w:gridSpan w:val="4"/>
            <w:shd w:fill="1F3864" w:color="auto" w:val="clear"/>
            <w:tcMar>
              <w:top w:type="dxa" w:w="80"/>
              <w:left w:type="dxa" w:w="140"/>
              <w:bottom w:type="dxa" w:w="80"/>
              <w:right w:type="dxa" w:w="140"/>
            </w:tcMar>
          </w:tcPr>
          <w:p>
            <w:pPr>
              <w:spacing w:after="60" w:before="60"/>
              <w:jc w:val="left"/>
            </w:pPr>
            <w:r>
              <w:rPr>
                <w:rFonts w:ascii="Arial" w:cs="Arial" w:eastAsia="Arial" w:hAnsi="Arial"/>
                <w:b/>
                <w:bCs/>
                <w:color w:val="FFFFFF"/>
                <w:sz w:val="22"/>
                <w:szCs w:val="22"/>
              </w:rPr>
              <w:t xml:space="preserve">COMPANY DESCRIPTION</w:t>
            </w:r>
          </w:p>
        </w:tc>
      </w:tr>
      <w:tr>
        <w:tc>
          <w:tcPr>
            <w:tcW w:type="dxa" w:w="9360"/>
            <w:gridSpan w:val="4"/>
            <w:tcMar>
              <w:top w:type="dxa" w:w="100"/>
              <w:left w:type="dxa" w:w="140"/>
              <w:bottom w:type="dxa" w:w="100"/>
              <w:right w:type="dxa" w:w="140"/>
            </w:tcMar>
          </w:tcPr>
          <w:p>
            <w:pPr>
              <w:spacing w:after="80" w:before="80"/>
              <w:jc w:val="left"/>
            </w:pPr>
            <w:r>
              <w:rPr>
                <w:rFonts w:ascii="Arial" w:cs="Arial" w:eastAsia="Arial" w:hAnsi="Arial"/>
                <w:b w:val="false"/>
                <w:bCs w:val="false"/>
                <w:color w:val="000000"/>
                <w:sz w:val="21"/>
                <w:szCs w:val="21"/>
              </w:rPr>
              <w:t xml:space="preserve">Summit Technology Laboratory (STL) is an Irvine, California-based software company developing Artemis™, an AI-powered computer vision platform that automates multi-projector alignment, warping, and blending across arbitrary 3D surface geometries — domes, cylinders, curved walls, and irregular architectural surfaces. Artemis reduces calibration time from hours or days to under four minutes and is hardware-agnostic, supporting all major projector brands with native Unreal Engine integration. Founded by Dr. Aditi Majumder — a UCI Computer Science professor and 30-year pioneer in projection science — STL holds 8 US patents and $6M+ in SBIR-funded R&amp;D backing its core algorithms. The company is commercializing through OEM partnerships (Panasonic), government contracts (NPI-AV, AFSOC, Space Force), and direct enterprise sales to entertainment venues, defense simulation, and corporate visualization clients.</w:t>
            </w:r>
          </w:p>
        </w:tc>
      </w:tr>
      <w:tr>
        <w:tc>
          <w:tcPr>
            <w:tcW w:type="dxa" w:w="1360"/>
            <w:shd w:fill="F4F4F4" w:color="auto" w:val="clear"/>
            <w:tcMar>
              <w:top w:type="dxa" w:w="80"/>
              <w:left w:type="dxa" w:w="120"/>
              <w:bottom w:type="dxa" w:w="80"/>
              <w:right w:type="dxa" w:w="120"/>
            </w:tcMar>
          </w:tcPr>
          <w:p>
            <w:pPr>
              <w:spacing w:after="60" w:before="60"/>
              <w:jc w:val="left"/>
            </w:pPr>
            <w:r>
              <w:rPr>
                <w:rFonts w:ascii="Arial" w:cs="Arial" w:eastAsia="Arial" w:hAnsi="Arial"/>
                <w:b/>
                <w:bCs/>
                <w:color w:val="000000"/>
                <w:sz w:val="22"/>
                <w:szCs w:val="22"/>
              </w:rPr>
              <w:t xml:space="preserve">Platform</w:t>
            </w:r>
          </w:p>
        </w:tc>
        <w:tc>
          <w:tcPr>
            <w:tcW w:type="dxa" w:w="332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Artemis™ — AI-Powered Projection Mapping Automation</w:t>
            </w:r>
          </w:p>
        </w:tc>
        <w:tc>
          <w:tcPr>
            <w:tcW w:type="dxa" w:w="1360"/>
            <w:shd w:fill="F4F4F4" w:color="auto" w:val="clear"/>
            <w:tcMar>
              <w:top w:type="dxa" w:w="80"/>
              <w:left w:type="dxa" w:w="120"/>
              <w:bottom w:type="dxa" w:w="80"/>
              <w:right w:type="dxa" w:w="120"/>
            </w:tcMar>
          </w:tcPr>
          <w:p>
            <w:pPr>
              <w:spacing w:after="60" w:before="60"/>
              <w:jc w:val="left"/>
            </w:pPr>
            <w:r>
              <w:rPr>
                <w:rFonts w:ascii="Arial" w:cs="Arial" w:eastAsia="Arial" w:hAnsi="Arial"/>
                <w:b/>
                <w:bCs/>
                <w:color w:val="000000"/>
                <w:sz w:val="22"/>
                <w:szCs w:val="22"/>
              </w:rPr>
              <w:t xml:space="preserve">Stage</w:t>
            </w:r>
          </w:p>
        </w:tc>
        <w:tc>
          <w:tcPr>
            <w:tcW w:type="dxa" w:w="332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TRL 7–8 — Production Contracts Active</w:t>
            </w:r>
          </w:p>
        </w:tc>
      </w:tr>
      <w:tr>
        <w:tc>
          <w:tcPr>
            <w:tcW w:type="dxa" w:w="1360"/>
            <w:shd w:fill="F4F4F4" w:color="auto" w:val="clear"/>
            <w:tcMar>
              <w:top w:type="dxa" w:w="80"/>
              <w:left w:type="dxa" w:w="120"/>
              <w:bottom w:type="dxa" w:w="80"/>
              <w:right w:type="dxa" w:w="120"/>
            </w:tcMar>
          </w:tcPr>
          <w:p>
            <w:pPr>
              <w:spacing w:after="60" w:before="60"/>
              <w:jc w:val="left"/>
            </w:pPr>
            <w:r>
              <w:rPr>
                <w:rFonts w:ascii="Arial" w:cs="Arial" w:eastAsia="Arial" w:hAnsi="Arial"/>
                <w:b/>
                <w:bCs/>
                <w:color w:val="000000"/>
                <w:sz w:val="22"/>
                <w:szCs w:val="22"/>
              </w:rPr>
              <w:t xml:space="preserve">HQ</w:t>
            </w:r>
          </w:p>
        </w:tc>
        <w:tc>
          <w:tcPr>
            <w:tcW w:type="dxa" w:w="332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Irvine, California, USA</w:t>
            </w:r>
          </w:p>
        </w:tc>
        <w:tc>
          <w:tcPr>
            <w:tcW w:type="dxa" w:w="1360"/>
            <w:shd w:fill="F4F4F4" w:color="auto" w:val="clear"/>
            <w:tcMar>
              <w:top w:type="dxa" w:w="80"/>
              <w:left w:type="dxa" w:w="120"/>
              <w:bottom w:type="dxa" w:w="80"/>
              <w:right w:type="dxa" w:w="120"/>
            </w:tcMar>
          </w:tcPr>
          <w:p>
            <w:pPr>
              <w:spacing w:after="60" w:before="60"/>
              <w:jc w:val="left"/>
            </w:pPr>
            <w:r>
              <w:rPr>
                <w:rFonts w:ascii="Arial" w:cs="Arial" w:eastAsia="Arial" w:hAnsi="Arial"/>
                <w:b/>
                <w:bCs/>
                <w:color w:val="000000"/>
                <w:sz w:val="22"/>
                <w:szCs w:val="22"/>
              </w:rPr>
              <w:t xml:space="preserve">Round</w:t>
            </w:r>
          </w:p>
        </w:tc>
        <w:tc>
          <w:tcPr>
            <w:tcW w:type="dxa" w:w="332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Bridge Convertible Note (Signed December 2025)</w:t>
            </w:r>
          </w:p>
        </w:tc>
      </w:tr>
      <w:tr>
        <w:tc>
          <w:tcPr>
            <w:tcW w:type="dxa" w:w="1360"/>
            <w:shd w:fill="F4F4F4" w:color="auto" w:val="clear"/>
            <w:tcMar>
              <w:top w:type="dxa" w:w="80"/>
              <w:left w:type="dxa" w:w="120"/>
              <w:bottom w:type="dxa" w:w="80"/>
              <w:right w:type="dxa" w:w="120"/>
            </w:tcMar>
          </w:tcPr>
          <w:p>
            <w:pPr>
              <w:spacing w:after="60" w:before="60"/>
              <w:jc w:val="left"/>
            </w:pPr>
            <w:r>
              <w:rPr>
                <w:rFonts w:ascii="Arial" w:cs="Arial" w:eastAsia="Arial" w:hAnsi="Arial"/>
                <w:b/>
                <w:bCs/>
                <w:color w:val="000000"/>
                <w:sz w:val="22"/>
                <w:szCs w:val="22"/>
              </w:rPr>
              <w:t xml:space="preserve">CEO</w:t>
            </w:r>
          </w:p>
        </w:tc>
        <w:tc>
          <w:tcPr>
            <w:tcW w:type="dxa" w:w="332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Maj Gen Stephen Clark (USAF Ret.) | Dr. Aditi Majumder (Founder/CTO)</w:t>
            </w:r>
          </w:p>
        </w:tc>
        <w:tc>
          <w:tcPr>
            <w:tcW w:type="dxa" w:w="1360"/>
            <w:shd w:fill="F4F4F4" w:color="auto" w:val="clear"/>
            <w:tcMar>
              <w:top w:type="dxa" w:w="80"/>
              <w:left w:type="dxa" w:w="120"/>
              <w:bottom w:type="dxa" w:w="80"/>
              <w:right w:type="dxa" w:w="120"/>
            </w:tcMar>
          </w:tcPr>
          <w:p>
            <w:pPr>
              <w:spacing w:after="60" w:before="60"/>
              <w:jc w:val="left"/>
            </w:pPr>
            <w:r>
              <w:rPr>
                <w:rFonts w:ascii="Arial" w:cs="Arial" w:eastAsia="Arial" w:hAnsi="Arial"/>
                <w:b/>
                <w:bCs/>
                <w:color w:val="000000"/>
                <w:sz w:val="22"/>
                <w:szCs w:val="22"/>
              </w:rPr>
              <w:t xml:space="preserve">Raise</w:t>
            </w:r>
          </w:p>
        </w:tc>
        <w:tc>
          <w:tcPr>
            <w:tcW w:type="dxa" w:w="332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$750K ($460K raised; $290K remaining)</w:t>
            </w:r>
          </w:p>
        </w:tc>
      </w:tr>
      <w:tr>
        <w:tc>
          <w:tcPr>
            <w:tcW w:type="dxa" w:w="1360"/>
            <w:shd w:fill="F4F4F4" w:color="auto" w:val="clear"/>
            <w:tcMar>
              <w:top w:type="dxa" w:w="80"/>
              <w:left w:type="dxa" w:w="120"/>
              <w:bottom w:type="dxa" w:w="80"/>
              <w:right w:type="dxa" w:w="120"/>
            </w:tcMar>
          </w:tcPr>
          <w:p>
            <w:pPr>
              <w:spacing w:after="60" w:before="60"/>
              <w:jc w:val="left"/>
            </w:pPr>
            <w:r>
              <w:rPr>
                <w:rFonts w:ascii="Arial" w:cs="Arial" w:eastAsia="Arial" w:hAnsi="Arial"/>
                <w:b/>
                <w:bCs/>
                <w:color w:val="000000"/>
                <w:sz w:val="22"/>
                <w:szCs w:val="22"/>
              </w:rPr>
              <w:t xml:space="preserve">Founded</w:t>
            </w:r>
          </w:p>
        </w:tc>
        <w:tc>
          <w:tcPr>
            <w:tcW w:type="dxa" w:w="332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2015</w:t>
            </w:r>
          </w:p>
        </w:tc>
        <w:tc>
          <w:tcPr>
            <w:tcW w:type="dxa" w:w="1360"/>
            <w:shd w:fill="F4F4F4" w:color="auto" w:val="clear"/>
            <w:tcMar>
              <w:top w:type="dxa" w:w="80"/>
              <w:left w:type="dxa" w:w="120"/>
              <w:bottom w:type="dxa" w:w="80"/>
              <w:right w:type="dxa" w:w="120"/>
            </w:tcMar>
          </w:tcPr>
          <w:p>
            <w:pPr>
              <w:spacing w:after="60" w:before="60"/>
              <w:jc w:val="left"/>
            </w:pPr>
            <w:r>
              <w:rPr>
                <w:rFonts w:ascii="Arial" w:cs="Arial" w:eastAsia="Arial" w:hAnsi="Arial"/>
                <w:b/>
                <w:bCs/>
                <w:color w:val="000000"/>
                <w:sz w:val="22"/>
                <w:szCs w:val="22"/>
              </w:rPr>
              <w:t xml:space="preserve">NWAi Check Size</w:t>
            </w:r>
          </w:p>
        </w:tc>
        <w:tc>
          <w:tcPr>
            <w:tcW w:type="dxa" w:w="332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[TO BE CONFIRMED]</w:t>
            </w:r>
          </w:p>
        </w:tc>
      </w:tr>
    </w:tbl>
    <w:p>
      <w:pPr>
        <w:spacing w:after="0" w:before="12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0"/>
        <w:gridCol w:w="860"/>
      </w:tblGrid>
      <w:tr>
        <w:tc>
          <w:tcPr>
            <w:tcW w:type="dxa" w:w="85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1.  THE PROBLEM / MARKET OPPORTUNITY</w:t>
            </w:r>
          </w:p>
        </w:tc>
        <w:tc>
          <w:tcPr>
            <w:tcW w:type="dxa" w:w="8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Score</w:t>
            </w:r>
          </w:p>
        </w:tc>
      </w:tr>
      <w:tr>
        <w:tc>
          <w:tcPr>
            <w:tcW w:type="dxa" w:w="8500"/>
            <w:shd w:fill="FFFFFF" w:color="auto" w:val="clear"/>
            <w:tcMar>
              <w:top w:type="dxa" w:w="100"/>
              <w:left w:type="dxa" w:w="140"/>
              <w:bottom w:type="dxa" w:w="100"/>
              <w:right w:type="dxa" w:w="100"/>
            </w:tcMar>
          </w:tcPr>
          <w:p>
            <w:pPr>
              <w:spacing w:after="60" w:before="60"/>
              <w:jc w:val="left"/>
            </w:pPr>
            <w:r>
              <w:rPr>
                <w:rFonts w:ascii="Arial" w:cs="Arial" w:eastAsia="Arial" w:hAnsi="Arial"/>
                <w:b w:val="false"/>
                <w:bCs w:val="false"/>
                <w:color w:val="000000"/>
                <w:sz w:val="22"/>
                <w:szCs w:val="22"/>
              </w:rPr>
              <w:t xml:space="preserve">Calibrating multi-projector systems across arbitrary, non-flat surfaces — domes, curved walls, cylinders, and architectural environments — has historically required days of manual specialist labor at $10K–$50K+ per installation, making large-format immersive displays expensive, slow, and non-repeatable for mid-market venues. No commercially available software has automated this workflow across arbitrary geometries without physical surface measurement rigs or manual geometric mapping.</w:t>
            </w:r>
          </w:p>
          <w:p>
            <w:pPr>
              <w:spacing w:after="60" w:before="60"/>
              <w:jc w:val="left"/>
            </w:pPr>
            <w:r>
              <w:rPr>
                <w:rFonts w:ascii="Arial" w:cs="Arial" w:eastAsia="Arial" w:hAnsi="Arial"/>
                <w:b w:val="false"/>
                <w:bCs w:val="false"/>
                <w:color w:val="000000"/>
                <w:sz w:val="22"/>
                <w:szCs w:val="22"/>
              </w:rPr>
              <w:t xml:space="preserve">Artemis closes this gap using computer vision, reducing the full calibration pipeline — geometric correction, color calibration, and edge blending — to under four minutes. Timing thesis (4/5): (1) proliferation of architecturally complex display surfaces that legacy tools cannot calibrate; (2) enterprise demand for automated recalibration to eliminate technician liability exposure and recurring labor cost; (3) the spatial computing era placing immersive environments at the center of defense simulation, entertainment, and corporate use cases; and (4) projector pixels are 300x cheaper per lumen than LED panels, making software-enabled projection the economically rational display choice at scale.</w:t>
            </w:r>
          </w:p>
          <w:p>
            <w:pPr>
              <w:spacing w:after="60" w:before="60"/>
              <w:jc w:val="left"/>
            </w:pPr>
            <w:r>
              <w:rPr>
                <w:rFonts w:ascii="Arial" w:cs="Arial" w:eastAsia="Arial" w:hAnsi="Arial"/>
                <w:b w:val="false"/>
                <w:bCs w:val="false"/>
                <w:color w:val="000000"/>
                <w:sz w:val="22"/>
                <w:szCs w:val="22"/>
              </w:rPr>
              <w:t xml:space="preserve">Market: Full projection mapping TAM $6.66B (2025) growing to $17.82B (2030) at 21.7% CAGR (MarketsAndMarkets). Bottoms-up SAM for software calibration only: $20M–$92M globally across defense simulation, themed entertainment, museums, and live events. Note: founder's stated $6.66B–$22B TAM includes hardware, content, and services — flagged as inflated vs. bottoms-up; requires sourcing at IC. Timing Score 4/5. Niche SAM ceiling limits this section to a Score 4.</w:t>
            </w:r>
          </w:p>
        </w:tc>
        <w:tc>
          <w:tcPr>
            <w:tcW w:type="dxa" w:w="860"/>
            <w:shd w:fill="375623" w:color="auto" w:val="clear"/>
            <w:tcMar>
              <w:top w:type="dxa" w:w="100"/>
              <w:left w:type="dxa" w:w="80"/>
              <w:bottom w:type="dxa" w:w="100"/>
              <w:right w:type="dxa" w:w="80"/>
            </w:tcMar>
            <w:vAlign w:val="center"/>
          </w:tcPr>
          <w:p>
            <w:pPr>
              <w:spacing w:after="60" w:before="60"/>
              <w:jc w:val="center"/>
            </w:pPr>
            <w:r>
              <w:rPr>
                <w:rFonts w:ascii="Arial" w:cs="Arial" w:eastAsia="Arial" w:hAnsi="Arial"/>
                <w:b/>
                <w:bCs/>
                <w:color w:val="FFFFFF"/>
                <w:sz w:val="32"/>
                <w:szCs w:val="32"/>
              </w:rPr>
              <w:t xml:space="preserve">4</w:t>
            </w:r>
          </w:p>
        </w:tc>
      </w:tr>
    </w:tbl>
    <w:p>
      <w:pPr>
        <w:spacing w:after="0" w:before="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0"/>
        <w:gridCol w:w="860"/>
      </w:tblGrid>
      <w:tr>
        <w:tc>
          <w:tcPr>
            <w:tcW w:type="dxa" w:w="85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2.  THE SOLUTION / PRODUCT</w:t>
            </w:r>
          </w:p>
        </w:tc>
        <w:tc>
          <w:tcPr>
            <w:tcW w:type="dxa" w:w="8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Score</w:t>
            </w:r>
          </w:p>
        </w:tc>
      </w:tr>
      <w:tr>
        <w:tc>
          <w:tcPr>
            <w:tcW w:type="dxa" w:w="8500"/>
            <w:shd w:fill="FFFFFF" w:color="auto" w:val="clear"/>
            <w:tcMar>
              <w:top w:type="dxa" w:w="100"/>
              <w:left w:type="dxa" w:w="140"/>
              <w:bottom w:type="dxa" w:w="100"/>
              <w:right w:type="dxa" w:w="100"/>
            </w:tcMar>
          </w:tcPr>
          <w:p>
            <w:pPr>
              <w:spacing w:after="60" w:before="60"/>
              <w:jc w:val="left"/>
            </w:pPr>
            <w:r>
              <w:rPr>
                <w:rFonts w:ascii="Arial" w:cs="Arial" w:eastAsia="Arial" w:hAnsi="Arial"/>
                <w:b w:val="false"/>
                <w:bCs w:val="false"/>
                <w:color w:val="000000"/>
                <w:sz w:val="22"/>
                <w:szCs w:val="22"/>
              </w:rPr>
              <w:t xml:space="preserve">Artemis™ is a production-deployed AI calibration platform built on 30+ years of Dr. Majumder's foundational computer vision research, $6M+ in SBIR-funded proprietary algorithm development, and 8 US patents covering projection geometry, warping, and blending. The system automates full calibration for any surface geometry, any projector count, and any projector brand — reducing setup time from hours or days to under four minutes. It outputs a digital twin 3D model of the display surface and integrates natively with Unreal Engine. GPU-accelerated warp+blend rendering is production-grade via Nvidia integration.</w:t>
            </w:r>
          </w:p>
          <w:p>
            <w:pPr>
              <w:spacing w:after="60" w:before="60"/>
              <w:jc w:val="left"/>
            </w:pPr>
            <w:r>
              <w:rPr>
                <w:rFonts w:ascii="Arial" w:cs="Arial" w:eastAsia="Arial" w:hAnsi="Arial"/>
                <w:b w:val="false"/>
                <w:bCs w:val="false"/>
                <w:color w:val="000000"/>
                <w:sz w:val="22"/>
                <w:szCs w:val="22"/>
              </w:rPr>
              <w:t xml:space="preserve">TRL 7–8. Validated in operational environments: NPI-AV 144-projector deployment ($1.1M LoI, Space Force), PBS Studios 28+18 projector rooms (via Panasonic), Discovery Science Museum (LA/OC), AFSOC Decision Pod, Space Force SBIR Phase 2, and a Chicago corporate lobby performing automated weekly recalibration. SID DisplayWeek 2025 winner for Most Innovative Software. Panasonic engineering independently described Artemis as '10 years ahead' of any commercial alternative — an unsolicited Fortune 500 OEM endorsement.</w:t>
            </w:r>
          </w:p>
          <w:p>
            <w:pPr>
              <w:spacing w:after="60" w:before="60"/>
              <w:jc w:val="left"/>
            </w:pPr>
            <w:r>
              <w:rPr>
                <w:rFonts w:ascii="Arial" w:cs="Arial" w:eastAsia="Arial" w:hAnsi="Arial"/>
                <w:b w:val="false"/>
                <w:bCs w:val="false"/>
                <w:color w:val="000000"/>
                <w:sz w:val="22"/>
                <w:szCs w:val="22"/>
              </w:rPr>
              <w:t xml:space="preserve">IP: 8 US patents on projection and display systems filed by Dr. Majumder. SBIR-funded IP likely owned by STL under Bayh-Dole Act. CRITICAL YELLOW FLAG: US9064312B2 (Aug 2015) was originally assigned to UC Irvine. NWA Answers PDF provides partial clarification; legal review of license transfer provisions on change of control is required before capital deployment. Moat Tier 1: 3/6 (Switching Costs ✓, IP/Patents ✓, Vertical Specialization ✓; Network Effects ✗, Proprietary Data ✗, Regulatory Barriers ✗).</w:t>
            </w:r>
          </w:p>
        </w:tc>
        <w:tc>
          <w:tcPr>
            <w:tcW w:type="dxa" w:w="860"/>
            <w:shd w:fill="FFC000" w:color="auto" w:val="clear"/>
            <w:tcMar>
              <w:top w:type="dxa" w:w="100"/>
              <w:left w:type="dxa" w:w="80"/>
              <w:bottom w:type="dxa" w:w="100"/>
              <w:right w:type="dxa" w:w="80"/>
            </w:tcMar>
            <w:vAlign w:val="center"/>
          </w:tcPr>
          <w:p>
            <w:pPr>
              <w:spacing w:after="60" w:before="60"/>
              <w:jc w:val="center"/>
            </w:pPr>
            <w:r>
              <w:rPr>
                <w:rFonts w:ascii="Arial" w:cs="Arial" w:eastAsia="Arial" w:hAnsi="Arial"/>
                <w:b/>
                <w:bCs/>
                <w:color w:val="000000"/>
                <w:sz w:val="32"/>
                <w:szCs w:val="32"/>
              </w:rPr>
              <w:t xml:space="preserve">3</w:t>
            </w:r>
          </w:p>
        </w:tc>
      </w:tr>
    </w:tbl>
    <w:p>
      <w:pPr>
        <w:spacing w:after="0" w:before="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0"/>
        <w:gridCol w:w="860"/>
      </w:tblGrid>
      <w:tr>
        <w:tc>
          <w:tcPr>
            <w:tcW w:type="dxa" w:w="85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3.  AI / SOFTWARE MOAT</w:t>
            </w:r>
          </w:p>
        </w:tc>
        <w:tc>
          <w:tcPr>
            <w:tcW w:type="dxa" w:w="8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Score</w:t>
            </w:r>
          </w:p>
        </w:tc>
      </w:tr>
      <w:tr>
        <w:tc>
          <w:tcPr>
            <w:tcW w:type="dxa" w:w="8500"/>
            <w:shd w:fill="FFFFFF" w:color="auto" w:val="clear"/>
            <w:tcMar>
              <w:top w:type="dxa" w:w="100"/>
              <w:left w:type="dxa" w:w="140"/>
              <w:bottom w:type="dxa" w:w="100"/>
              <w:right w:type="dxa" w:w="100"/>
            </w:tcMar>
          </w:tcPr>
          <w:p>
            <w:pPr>
              <w:spacing w:after="60" w:before="60"/>
              <w:jc w:val="left"/>
            </w:pPr>
            <w:r>
              <w:rPr>
                <w:rFonts w:ascii="Arial" w:cs="Arial" w:eastAsia="Arial" w:hAnsi="Arial"/>
                <w:b w:val="false"/>
                <w:bCs w:val="false"/>
                <w:color w:val="000000"/>
                <w:sz w:val="22"/>
                <w:szCs w:val="22"/>
              </w:rPr>
              <w:t xml:space="preserve">Artemis passes the thin-wrapper test: the core calibration algorithm is a proprietary geometric computation pipeline built on 30+ years of research — it cannot be rebuilt in 48 hours via public LLM APIs, and its value derives from algorithmic depth and workflow integration, not prompt engineering. Thin Wrapper Test 1 (API dependency): PASS. Test 2 (differentiation source): PASS. Test 3 (switching cost): PASS. However, the AI moat as scored by NWAi's Tier 2 rubric is weak.</w:t>
            </w:r>
          </w:p>
          <w:p>
            <w:pPr>
              <w:spacing w:after="60" w:before="60"/>
              <w:jc w:val="left"/>
            </w:pPr>
            <w:r>
              <w:rPr>
                <w:rFonts w:ascii="Arial" w:cs="Arial" w:eastAsia="Arial" w:hAnsi="Arial"/>
                <w:b w:val="false"/>
                <w:bCs w:val="false"/>
                <w:color w:val="000000"/>
                <w:sz w:val="22"/>
                <w:szCs w:val="22"/>
              </w:rPr>
              <w:t xml:space="preserve">AI Moat Tier 2 Scoring: 3/10. Memory Lock-in (+1) — Artemis stores venue-specific 3D geometry, calibration parameters, and surface profiles per installation, creating real switching cost. Deep Workflow Integration (+2) — embedded in permanent venue operations at PBS Studios, Discovery Cube, AFSOC, and Space Force simulations; native Unreal Engine integration places it inside the content creation pipeline. All other Tier 2 elements score 0: no proprietary training dataset, no cross-installation data flywheel, no custom model training infrastructure, no regulatory certification layer, no multi-sided network effects.</w:t>
            </w:r>
          </w:p>
          <w:p>
            <w:pPr>
              <w:spacing w:after="60" w:before="60"/>
              <w:jc w:val="left"/>
            </w:pPr>
            <w:r>
              <w:rPr>
                <w:rFonts w:ascii="Arial" w:cs="Arial" w:eastAsia="Arial" w:hAnsi="Arial"/>
                <w:b w:val="false"/>
                <w:bCs w:val="false"/>
                <w:color w:val="000000"/>
                <w:sz w:val="22"/>
                <w:szCs w:val="22"/>
              </w:rPr>
              <w:t xml:space="preserve">The primary moat gap: customer installations generate calibration profiles and surface geometry data, but these are not aggregated back to improve central models or build a cross-customer proprietary training corpus. Building this data flywheel — actively collecting calibration data across all deployments to continuously retrain and differentiate the CV model — is the single highest-leverage moat-deepening action available to STL and should be a Series A milestone condition. AI Moat 3/10 maps to Score 2 per NWAi rubric (range 2–3 = Weak Moat).</w:t>
            </w:r>
          </w:p>
        </w:tc>
        <w:tc>
          <w:tcPr>
            <w:tcW w:type="dxa" w:w="860"/>
            <w:shd w:fill="C00000" w:color="auto" w:val="clear"/>
            <w:tcMar>
              <w:top w:type="dxa" w:w="100"/>
              <w:left w:type="dxa" w:w="80"/>
              <w:bottom w:type="dxa" w:w="100"/>
              <w:right w:type="dxa" w:w="80"/>
            </w:tcMar>
            <w:vAlign w:val="center"/>
          </w:tcPr>
          <w:p>
            <w:pPr>
              <w:spacing w:after="60" w:before="60"/>
              <w:jc w:val="center"/>
            </w:pPr>
            <w:r>
              <w:rPr>
                <w:rFonts w:ascii="Arial" w:cs="Arial" w:eastAsia="Arial" w:hAnsi="Arial"/>
                <w:b/>
                <w:bCs/>
                <w:color w:val="FFFFFF"/>
                <w:sz w:val="32"/>
                <w:szCs w:val="32"/>
              </w:rPr>
              <w:t xml:space="preserve">2</w:t>
            </w:r>
          </w:p>
        </w:tc>
      </w:tr>
    </w:tbl>
    <w:p>
      <w:pPr>
        <w:spacing w:after="0" w:before="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0"/>
        <w:gridCol w:w="860"/>
      </w:tblGrid>
      <w:tr>
        <w:tc>
          <w:tcPr>
            <w:tcW w:type="dxa" w:w="85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4.  BUSINESS MODEL &amp; CUSTOMERS</w:t>
            </w:r>
          </w:p>
        </w:tc>
        <w:tc>
          <w:tcPr>
            <w:tcW w:type="dxa" w:w="8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Score</w:t>
            </w:r>
          </w:p>
        </w:tc>
      </w:tr>
      <w:tr>
        <w:tc>
          <w:tcPr>
            <w:tcW w:type="dxa" w:w="8500"/>
            <w:shd w:fill="FFFFFF" w:color="auto" w:val="clear"/>
            <w:tcMar>
              <w:top w:type="dxa" w:w="100"/>
              <w:left w:type="dxa" w:w="140"/>
              <w:bottom w:type="dxa" w:w="100"/>
              <w:right w:type="dxa" w:w="100"/>
            </w:tcMar>
          </w:tcPr>
          <w:p>
            <w:pPr>
              <w:spacing w:after="60" w:before="60"/>
              <w:jc w:val="left"/>
            </w:pPr>
            <w:r>
              <w:rPr>
                <w:rFonts w:ascii="Arial" w:cs="Arial" w:eastAsia="Arial" w:hAnsi="Arial"/>
                <w:b w:val="false"/>
                <w:bCs w:val="false"/>
                <w:color w:val="000000"/>
                <w:sz w:val="22"/>
                <w:szCs w:val="22"/>
              </w:rPr>
              <w:t xml:space="preserve">Artemis uses a hybrid monetization model: (1) Perpetual License — $10,000 per projector (one-time capex) with $1,000/year annual maintenance and support; (2) SaaS — $2,600/projector/year plus a one-time $1,000 implementation fee per deployment. A 144-projector NPI-AV deployment generates $374K at capex pricing or ~$375K ARR at SaaS rates. Gross margin is approximately 75% on software license revenue and 25% on implementation fees, with a 2.5% UCI royalty reducing effective software margin to approximately 72.5%.</w:t>
            </w:r>
          </w:p>
          <w:p>
            <w:pPr>
              <w:spacing w:after="60" w:before="60"/>
              <w:jc w:val="left"/>
            </w:pPr>
            <w:r>
              <w:rPr>
                <w:rFonts w:ascii="Arial" w:cs="Arial" w:eastAsia="Arial" w:hAnsi="Arial"/>
                <w:b w:val="false"/>
                <w:bCs w:val="false"/>
                <w:color w:val="000000"/>
                <w:sz w:val="22"/>
                <w:szCs w:val="22"/>
              </w:rPr>
              <w:t xml:space="preserve">Target customers span three segments: (1) AV integrators (NPI-AV, PRG, AVI-SPL) who bundle Artemis into multi-projector installation packages; (2) projector OEMs (Panasonic, Sony, Epson, Christie) who license Artemis as a calibration engine embedded within their projector solutions; and (3) direct enterprise end users in defense simulation, themed entertainment, museums, and corporate immersive environments.</w:t>
            </w:r>
          </w:p>
          <w:p>
            <w:pPr>
              <w:spacing w:after="60" w:before="60"/>
              <w:jc w:val="left"/>
            </w:pPr>
            <w:r>
              <w:rPr>
                <w:rFonts w:ascii="Arial" w:cs="Arial" w:eastAsia="Arial" w:hAnsi="Arial"/>
                <w:b w:val="false"/>
                <w:bCs w:val="false"/>
                <w:color w:val="000000"/>
                <w:sz w:val="22"/>
                <w:szCs w:val="22"/>
              </w:rPr>
              <w:t xml:space="preserve">Business model risk: Unit economics (CAC, LTV, churn) have not been provided and are unvalidated. Revenue split between recurring SaaS/AMC and one-time capex deployments is unconfirmed — a gate-critical condition for the Invest recommendation. The 2025 P&amp;L shows zero commercial subscription revenue; all $479,786 of 2025 revenue is SBIR grants ($429,766, 90%) and consulting ($50,020, 10%). The first commercial recurring ARR contract has not been confirmed in the diligence record. Model is scored 3: works in theory but recurring revenue not yet validated in practice.</w:t>
            </w:r>
          </w:p>
        </w:tc>
        <w:tc>
          <w:tcPr>
            <w:tcW w:type="dxa" w:w="860"/>
            <w:shd w:fill="FFC000" w:color="auto" w:val="clear"/>
            <w:tcMar>
              <w:top w:type="dxa" w:w="100"/>
              <w:left w:type="dxa" w:w="80"/>
              <w:bottom w:type="dxa" w:w="100"/>
              <w:right w:type="dxa" w:w="80"/>
            </w:tcMar>
            <w:vAlign w:val="center"/>
          </w:tcPr>
          <w:p>
            <w:pPr>
              <w:spacing w:after="60" w:before="60"/>
              <w:jc w:val="center"/>
            </w:pPr>
            <w:r>
              <w:rPr>
                <w:rFonts w:ascii="Arial" w:cs="Arial" w:eastAsia="Arial" w:hAnsi="Arial"/>
                <w:b/>
                <w:bCs/>
                <w:color w:val="000000"/>
                <w:sz w:val="32"/>
                <w:szCs w:val="32"/>
              </w:rPr>
              <w:t xml:space="preserve">3</w:t>
            </w:r>
          </w:p>
        </w:tc>
      </w:tr>
    </w:tbl>
    <w:p>
      <w:pPr>
        <w:spacing w:after="0" w:before="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0"/>
        <w:gridCol w:w="860"/>
      </w:tblGrid>
      <w:tr>
        <w:tc>
          <w:tcPr>
            <w:tcW w:type="dxa" w:w="85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5.  CUSTOMER PIPELINE</w:t>
            </w:r>
          </w:p>
        </w:tc>
        <w:tc>
          <w:tcPr>
            <w:tcW w:type="dxa" w:w="8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Score</w:t>
            </w:r>
          </w:p>
        </w:tc>
      </w:tr>
      <w:tr>
        <w:tc>
          <w:tcPr>
            <w:tcW w:type="dxa" w:w="8500"/>
            <w:shd w:fill="FFFFFF" w:color="auto" w:val="clear"/>
            <w:tcMar>
              <w:top w:type="dxa" w:w="100"/>
              <w:left w:type="dxa" w:w="140"/>
              <w:bottom w:type="dxa" w:w="100"/>
              <w:right w:type="dxa" w:w="100"/>
            </w:tcMar>
          </w:tcPr>
          <w:p>
            <w:pPr>
              <w:spacing w:after="60" w:before="60"/>
              <w:jc w:val="left"/>
            </w:pPr>
            <w:r>
              <w:rPr>
                <w:rFonts w:ascii="Arial" w:cs="Arial" w:eastAsia="Arial" w:hAnsi="Arial"/>
                <w:b w:val="false"/>
                <w:bCs w:val="false"/>
                <w:color w:val="000000"/>
                <w:sz w:val="22"/>
                <w:szCs w:val="22"/>
              </w:rPr>
              <w:t xml:space="preserve">STL has $300K in completed revenue with named enterprise logos and $1.6M+ in contracted revenue — strong traction for a hardware-adjacent software company at this stage. Active paying customers include: Panasonic (80 projectors, $500K contract, PBS Studios deployment); NPI-AV ($1.1M LoI, 144-projector Space Force deployment underway); Discovery Science Museum (LA/OC); AFSOC Decision Pod; Space Force SBIR Phase 2. Over 200 projectors under contract. Golden Seeds investment memo (December 2024) provides independent third-party validation of enterprise traction.</w:t>
            </w:r>
          </w:p>
          <w:p>
            <w:pPr>
              <w:spacing w:after="60" w:before="60"/>
              <w:jc w:val="left"/>
            </w:pPr>
            <w:r>
              <w:rPr>
                <w:rFonts w:ascii="Arial" w:cs="Arial" w:eastAsia="Arial" w:hAnsi="Arial"/>
                <w:b w:val="false"/>
                <w:bCs w:val="false"/>
                <w:color w:val="000000"/>
                <w:sz w:val="22"/>
                <w:szCs w:val="22"/>
              </w:rPr>
              <w:t xml:space="preserve">Near-term pipeline: Discussions active with Epson, Sony, Christie, Optoma, Naval Warfare Information Command, and SAI/DHS. European subway station projection opportunity in active proposal. The 'cookie-cutter' templating capability — where the first installation in a venue type templates all subsequent deployments — is a meaningful scaling lever that reduces per-deal CAC as reference deployments accumulate.</w:t>
            </w:r>
          </w:p>
          <w:p>
            <w:pPr>
              <w:spacing w:after="60" w:before="60"/>
              <w:jc w:val="left"/>
            </w:pPr>
            <w:r>
              <w:rPr>
                <w:rFonts w:ascii="Arial" w:cs="Arial" w:eastAsia="Arial" w:hAnsi="Arial"/>
                <w:b w:val="false"/>
                <w:bCs w:val="false"/>
                <w:color w:val="000000"/>
                <w:sz w:val="22"/>
                <w:szCs w:val="22"/>
              </w:rPr>
              <w:t xml:space="preserve">Pipeline risk: The gap between $300K completed and $1.6M+ contracted is large relative to $85K/month burn. Payment milestones for the Panasonic ($500K) and NPI-AV ($1.1M) contracts have not been fully disclosed. Revenue slippage on either by 60–90 days materially compresses the runway calculation. Panasonic channel concentration represents a single-point-of-failure risk; if Panasonic delays, cancels, or internalizes the technology, the contracted revenue pipeline is immediately at risk.</w:t>
            </w:r>
          </w:p>
        </w:tc>
        <w:tc>
          <w:tcPr>
            <w:tcW w:type="dxa" w:w="860"/>
            <w:shd w:fill="375623" w:color="auto" w:val="clear"/>
            <w:tcMar>
              <w:top w:type="dxa" w:w="100"/>
              <w:left w:type="dxa" w:w="80"/>
              <w:bottom w:type="dxa" w:w="100"/>
              <w:right w:type="dxa" w:w="80"/>
            </w:tcMar>
            <w:vAlign w:val="center"/>
          </w:tcPr>
          <w:p>
            <w:pPr>
              <w:spacing w:after="60" w:before="60"/>
              <w:jc w:val="center"/>
            </w:pPr>
            <w:r>
              <w:rPr>
                <w:rFonts w:ascii="Arial" w:cs="Arial" w:eastAsia="Arial" w:hAnsi="Arial"/>
                <w:b/>
                <w:bCs/>
                <w:color w:val="FFFFFF"/>
                <w:sz w:val="32"/>
                <w:szCs w:val="32"/>
              </w:rPr>
              <w:t xml:space="preserve">4</w:t>
            </w:r>
          </w:p>
        </w:tc>
      </w:tr>
    </w:tbl>
    <w:p>
      <w:pPr>
        <w:spacing w:after="0" w:before="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0"/>
        <w:gridCol w:w="860"/>
      </w:tblGrid>
      <w:tr>
        <w:tc>
          <w:tcPr>
            <w:tcW w:type="dxa" w:w="85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6.  COMPETITION &amp; MOAT</w:t>
            </w:r>
          </w:p>
        </w:tc>
        <w:tc>
          <w:tcPr>
            <w:tcW w:type="dxa" w:w="8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Score</w:t>
            </w:r>
          </w:p>
        </w:tc>
      </w:tr>
      <w:tr>
        <w:tc>
          <w:tcPr>
            <w:tcW w:type="dxa" w:w="8500"/>
            <w:shd w:fill="FFFFFF" w:color="auto" w:val="clear"/>
            <w:tcMar>
              <w:top w:type="dxa" w:w="100"/>
              <w:left w:type="dxa" w:w="140"/>
              <w:bottom w:type="dxa" w:w="100"/>
              <w:right w:type="dxa" w:w="100"/>
            </w:tcMar>
          </w:tcPr>
          <w:p>
            <w:pPr>
              <w:spacing w:after="60" w:before="60"/>
              <w:jc w:val="left"/>
            </w:pPr>
            <w:r>
              <w:rPr>
                <w:rFonts w:ascii="Arial" w:cs="Arial" w:eastAsia="Arial" w:hAnsi="Arial"/>
                <w:b w:val="false"/>
                <w:bCs w:val="false"/>
                <w:color w:val="000000"/>
                <w:sz w:val="22"/>
                <w:szCs w:val="22"/>
              </w:rPr>
              <w:t xml:space="preserve">The multi-projector calibration market has established incumbents, but STL maintains a meaningful technical differentiation on arbitrary-surface automation. Named direct competitors: Scalable Display Technologies (20-year entrenched defense simulation incumbent with DOD relationships); Christie Mystique (integrated auto-calibration bundled with Christie projectors); Barco Auto-Alignment (integrated in Barco hardware ecosystem); Panasonic ET-SWR10 (Panasonic's own calibration software — a structural tension within the distribution partnership); Vioso (European market leader, German calibration software). Open-source alternatives: Omnidome, Splash, MapMap (free, limited to flat or simple surface geometries).</w:t>
            </w:r>
          </w:p>
          <w:p>
            <w:pPr>
              <w:spacing w:after="60" w:before="60"/>
              <w:jc w:val="left"/>
            </w:pPr>
            <w:r>
              <w:rPr>
                <w:rFonts w:ascii="Arial" w:cs="Arial" w:eastAsia="Arial" w:hAnsi="Arial"/>
                <w:b w:val="false"/>
                <w:bCs w:val="false"/>
                <w:color w:val="000000"/>
                <w:sz w:val="22"/>
                <w:szCs w:val="22"/>
              </w:rPr>
              <w:t xml:space="preserve">STL's differentiation: automated calibration for arbitrary surface geometries without physical measurement rigs — a capability that Scalable Display, Vioso, and Christie Mystique do not fully replicate. Hardware-agnostic vs. incumbent tools that are optimized for their own projector lines. Panasonic's unsolicited '10 years ahead' engineering assessment is the strongest independent validation of technical lead. First-mover position in the 'any surface, any projector count, any brand' segment is real but time-limited.</w:t>
            </w:r>
          </w:p>
          <w:p>
            <w:pPr>
              <w:spacing w:after="60" w:before="60"/>
              <w:jc w:val="left"/>
            </w:pPr>
            <w:r>
              <w:rPr>
                <w:rFonts w:ascii="Arial" w:cs="Arial" w:eastAsia="Arial" w:hAnsi="Arial"/>
                <w:b w:val="false"/>
                <w:bCs w:val="false"/>
                <w:color w:val="000000"/>
                <w:sz w:val="22"/>
                <w:szCs w:val="22"/>
              </w:rPr>
              <w:t xml:space="preserve">Competitive risk: AI Moat 3/10. Feature parity with incumbents is narrowing — Panasonic, Christie, and Barco are all embedding AI calibration capabilities into their own hardware ecosystems. The 12–24 month window to establish durable workflow moat is open but closing. Scalable Display Technologies is deeply entrenched in defense simulation with long-standing DOD procurement relationships that STL has not yet displaced. The Panasonic relationship simultaneously provides near-term channel protection and creates long-term competitive ambiguity: Panasonic is a customer, distribution partner, potential acquirer, and potential competitor in the same deal.</w:t>
            </w:r>
          </w:p>
        </w:tc>
        <w:tc>
          <w:tcPr>
            <w:tcW w:type="dxa" w:w="860"/>
            <w:shd w:fill="FFC000" w:color="auto" w:val="clear"/>
            <w:tcMar>
              <w:top w:type="dxa" w:w="100"/>
              <w:left w:type="dxa" w:w="80"/>
              <w:bottom w:type="dxa" w:w="100"/>
              <w:right w:type="dxa" w:w="80"/>
            </w:tcMar>
            <w:vAlign w:val="center"/>
          </w:tcPr>
          <w:p>
            <w:pPr>
              <w:spacing w:after="60" w:before="60"/>
              <w:jc w:val="center"/>
            </w:pPr>
            <w:r>
              <w:rPr>
                <w:rFonts w:ascii="Arial" w:cs="Arial" w:eastAsia="Arial" w:hAnsi="Arial"/>
                <w:b/>
                <w:bCs/>
                <w:color w:val="000000"/>
                <w:sz w:val="32"/>
                <w:szCs w:val="32"/>
              </w:rPr>
              <w:t xml:space="preserve">3</w:t>
            </w:r>
          </w:p>
        </w:tc>
      </w:tr>
    </w:tbl>
    <w:p>
      <w:pPr>
        <w:spacing w:after="0" w:before="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0"/>
        <w:gridCol w:w="860"/>
      </w:tblGrid>
      <w:tr>
        <w:tc>
          <w:tcPr>
            <w:tcW w:type="dxa" w:w="85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7.  GO-TO-MARKET STRATEGY</w:t>
            </w:r>
          </w:p>
        </w:tc>
        <w:tc>
          <w:tcPr>
            <w:tcW w:type="dxa" w:w="8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Score</w:t>
            </w:r>
          </w:p>
        </w:tc>
      </w:tr>
      <w:tr>
        <w:tc>
          <w:tcPr>
            <w:tcW w:type="dxa" w:w="8500"/>
            <w:shd w:fill="FFFFFF" w:color="auto" w:val="clear"/>
            <w:tcMar>
              <w:top w:type="dxa" w:w="100"/>
              <w:left w:type="dxa" w:w="140"/>
              <w:bottom w:type="dxa" w:w="100"/>
              <w:right w:type="dxa" w:w="100"/>
            </w:tcMar>
          </w:tcPr>
          <w:p>
            <w:pPr>
              <w:spacing w:after="60" w:before="60"/>
              <w:jc w:val="left"/>
            </w:pPr>
            <w:r>
              <w:rPr>
                <w:rFonts w:ascii="Arial" w:cs="Arial" w:eastAsia="Arial" w:hAnsi="Arial"/>
                <w:b w:val="false"/>
                <w:bCs w:val="false"/>
                <w:color w:val="000000"/>
                <w:sz w:val="22"/>
                <w:szCs w:val="22"/>
              </w:rPr>
              <w:t xml:space="preserve">GTM model is partner-led, operating as an 'Intel Inside' strategy: Artemis is embedded within AV integrator and OEM deployments rather than sold direct-to-end-user. Two validated channels: (1) Panasonic OEM path — Artemis licensed as the calibration engine embedded in Panasonic projector solutions (80 projectors active, PBS Studios); (2) NPI-AV integrator path — bundled into multi-projector installation packages (144-projector LoI, Space Force). VP Sales David Snyder was recently hired to develop the commercial pipeline beyond these two anchors.</w:t>
            </w:r>
          </w:p>
          <w:p>
            <w:pPr>
              <w:spacing w:after="60" w:before="60"/>
              <w:jc w:val="left"/>
            </w:pPr>
            <w:r>
              <w:rPr>
                <w:rFonts w:ascii="Arial" w:cs="Arial" w:eastAsia="Arial" w:hAnsi="Arial"/>
                <w:b w:val="false"/>
                <w:bCs w:val="false"/>
                <w:color w:val="000000"/>
                <w:sz w:val="22"/>
                <w:szCs w:val="22"/>
              </w:rPr>
              <w:t xml:space="preserve">Dr. Majumder has been closing enterprise deals personally — a founder-led sales model that validated the channel at early stage but will not scale past 2–3 accounts without dedicated commercial leadership. Defense channel is SBIR-driven (AFSOC, Space Force SBIR Phase 2); larger DOD contracts will require CMMC Level 2 or FedRAMP authorization — neither of which is currently in progress. Enterprise sales cycles run 9–36 months. The bridge-funded GTM hire will not materially impact commercial pipeline conversion until late 2026 or 2027.</w:t>
            </w:r>
          </w:p>
          <w:p>
            <w:pPr>
              <w:spacing w:after="60" w:before="60"/>
              <w:jc w:val="left"/>
            </w:pPr>
            <w:r>
              <w:rPr>
                <w:rFonts w:ascii="Arial" w:cs="Arial" w:eastAsia="Arial" w:hAnsi="Arial"/>
                <w:b w:val="false"/>
                <w:bCs w:val="false"/>
                <w:color w:val="000000"/>
                <w:sz w:val="22"/>
                <w:szCs w:val="22"/>
              </w:rPr>
              <w:t xml:space="preserve">GTM risk: Single-point-of-failure on the Panasonic channel. No direct sales motion or diversified channel strategy confirmed beyond Panasonic and NPI-AV. LTV/CAC data not provided. No Panasonic exclusivity or competition clause confirmed — the structure of the Panasonic distribution relationship has not been formally reviewed. Market Risk: 6/10 mapping to Score 3 per rubric.</w:t>
            </w:r>
          </w:p>
        </w:tc>
        <w:tc>
          <w:tcPr>
            <w:tcW w:type="dxa" w:w="860"/>
            <w:shd w:fill="FFC000" w:color="auto" w:val="clear"/>
            <w:tcMar>
              <w:top w:type="dxa" w:w="100"/>
              <w:left w:type="dxa" w:w="80"/>
              <w:bottom w:type="dxa" w:w="100"/>
              <w:right w:type="dxa" w:w="80"/>
            </w:tcMar>
            <w:vAlign w:val="center"/>
          </w:tcPr>
          <w:p>
            <w:pPr>
              <w:spacing w:after="60" w:before="60"/>
              <w:jc w:val="center"/>
            </w:pPr>
            <w:r>
              <w:rPr>
                <w:rFonts w:ascii="Arial" w:cs="Arial" w:eastAsia="Arial" w:hAnsi="Arial"/>
                <w:b/>
                <w:bCs/>
                <w:color w:val="000000"/>
                <w:sz w:val="32"/>
                <w:szCs w:val="32"/>
              </w:rPr>
              <w:t xml:space="preserve">3</w:t>
            </w:r>
          </w:p>
        </w:tc>
      </w:tr>
    </w:tbl>
    <w:p>
      <w:pPr>
        <w:spacing w:after="0" w:before="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0"/>
        <w:gridCol w:w="860"/>
      </w:tblGrid>
      <w:tr>
        <w:tc>
          <w:tcPr>
            <w:tcW w:type="dxa" w:w="85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8.  TEAM &amp; EXECUTION</w:t>
            </w:r>
          </w:p>
        </w:tc>
        <w:tc>
          <w:tcPr>
            <w:tcW w:type="dxa" w:w="8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Score</w:t>
            </w:r>
          </w:p>
        </w:tc>
      </w:tr>
      <w:tr>
        <w:tc>
          <w:tcPr>
            <w:tcW w:type="dxa" w:w="8500"/>
            <w:shd w:fill="FFFFFF" w:color="auto" w:val="clear"/>
            <w:tcMar>
              <w:top w:type="dxa" w:w="100"/>
              <w:left w:type="dxa" w:w="140"/>
              <w:bottom w:type="dxa" w:w="100"/>
              <w:right w:type="dxa" w:w="100"/>
            </w:tcMar>
          </w:tcPr>
          <w:p>
            <w:pPr>
              <w:spacing w:after="60" w:before="60"/>
              <w:jc w:val="left"/>
            </w:pPr>
            <w:r>
              <w:rPr>
                <w:rFonts w:ascii="Arial" w:cs="Arial" w:eastAsia="Arial" w:hAnsi="Arial"/>
                <w:b w:val="false"/>
                <w:bCs w:val="false"/>
                <w:color w:val="000000"/>
                <w:sz w:val="22"/>
                <w:szCs w:val="22"/>
              </w:rPr>
              <w:t xml:space="preserve">CEO: Maj Gen Stephen Clark (USAF Ret.) — brings senior defense relationships (AFSOC, DOD procurement experience) and operational discipline; no prior tech startup experience or track record scaling an early-stage software company. CTO/Founder: Dr. Aditi Majumder — UCI Computer Science professor, 30+ years in projection science, co-inventor on core patents, NSF CAREER Award recipient, Disney Imagineering advisor. World-class technical founder with domain depth that is effectively irreplaceable and cannot be acquired by a competitor in the near term. Currently working without cash compensation, extending runway.</w:t>
            </w:r>
          </w:p>
          <w:p>
            <w:pPr>
              <w:spacing w:after="60" w:before="60"/>
              <w:jc w:val="left"/>
            </w:pPr>
            <w:r>
              <w:rPr>
                <w:rFonts w:ascii="Arial" w:cs="Arial" w:eastAsia="Arial" w:hAnsi="Arial"/>
                <w:b w:val="false"/>
                <w:bCs w:val="false"/>
                <w:color w:val="000000"/>
                <w:sz w:val="22"/>
                <w:szCs w:val="22"/>
              </w:rPr>
              <w:t xml:space="preserve">Co-Founder/Technical Advisor: Gopi (UCI Associate Dean) — strong CV algorithm depth, maintains UCI role. VP Sales: David Snyder (recently hired). COO: 'CP' — identity unconfirmed in all reviewed materials, a yellow flag. Advisors include a retired 2-star USAF Major General, a Sony-exit founder (Audeze, 2024), and a serial entrepreneur with 5 exits. No independent board members identified beyond Golden Seeds representation.</w:t>
            </w:r>
          </w:p>
          <w:p>
            <w:pPr>
              <w:spacing w:after="60" w:before="60"/>
              <w:jc w:val="left"/>
            </w:pPr>
            <w:r>
              <w:rPr>
                <w:rFonts w:ascii="Arial" w:cs="Arial" w:eastAsia="Arial" w:hAnsi="Arial"/>
                <w:b w:val="false"/>
                <w:bCs w:val="false"/>
                <w:color w:val="000000"/>
                <w:sz w:val="22"/>
                <w:szCs w:val="22"/>
              </w:rPr>
              <w:t xml:space="preserve">Team risks: Majumder and Gopi maintain full-time UCI roles — creates execution capacity risk and potential IP entanglement at a pivotal commercialization inflection. No CFO, no CRO. CEO Clark has no tech startup scaling experience. COO identity is unconfirmed. 3–6 person team managing simultaneous defense and commercial deployments — understaffed relative to scope. Both founders working without cash compensation: extends runway but creates retention risk and signals financial fragility. Execution Risk 7/10 maps to Score 3.</w:t>
            </w:r>
          </w:p>
        </w:tc>
        <w:tc>
          <w:tcPr>
            <w:tcW w:type="dxa" w:w="860"/>
            <w:shd w:fill="FFC000" w:color="auto" w:val="clear"/>
            <w:tcMar>
              <w:top w:type="dxa" w:w="100"/>
              <w:left w:type="dxa" w:w="80"/>
              <w:bottom w:type="dxa" w:w="100"/>
              <w:right w:type="dxa" w:w="80"/>
            </w:tcMar>
            <w:vAlign w:val="center"/>
          </w:tcPr>
          <w:p>
            <w:pPr>
              <w:spacing w:after="60" w:before="60"/>
              <w:jc w:val="center"/>
            </w:pPr>
            <w:r>
              <w:rPr>
                <w:rFonts w:ascii="Arial" w:cs="Arial" w:eastAsia="Arial" w:hAnsi="Arial"/>
                <w:b/>
                <w:bCs/>
                <w:color w:val="000000"/>
                <w:sz w:val="32"/>
                <w:szCs w:val="32"/>
              </w:rPr>
              <w:t xml:space="preserve">3</w:t>
            </w:r>
          </w:p>
        </w:tc>
      </w:tr>
    </w:tbl>
    <w:p>
      <w:pPr>
        <w:spacing w:after="0" w:before="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0"/>
        <w:gridCol w:w="860"/>
      </w:tblGrid>
      <w:tr>
        <w:tc>
          <w:tcPr>
            <w:tcW w:type="dxa" w:w="85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9.  DEAL STRUCTURE &amp; CAP TABLE</w:t>
            </w:r>
          </w:p>
        </w:tc>
        <w:tc>
          <w:tcPr>
            <w:tcW w:type="dxa" w:w="8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Score</w:t>
            </w:r>
          </w:p>
        </w:tc>
      </w:tr>
      <w:tr>
        <w:tc>
          <w:tcPr>
            <w:tcW w:type="dxa" w:w="8500"/>
            <w:shd w:fill="FFFFFF" w:color="auto" w:val="clear"/>
            <w:tcMar>
              <w:top w:type="dxa" w:w="100"/>
              <w:left w:type="dxa" w:w="140"/>
              <w:bottom w:type="dxa" w:w="100"/>
              <w:right w:type="dxa" w:w="100"/>
            </w:tcMar>
          </w:tcPr>
          <w:p>
            <w:pPr>
              <w:spacing w:after="60" w:before="60"/>
              <w:jc w:val="left"/>
            </w:pPr>
            <w:r>
              <w:rPr>
                <w:rFonts w:ascii="Arial" w:cs="Arial" w:eastAsia="Arial" w:hAnsi="Arial"/>
                <w:b w:val="false"/>
                <w:bCs w:val="false"/>
                <w:color w:val="000000"/>
                <w:sz w:val="22"/>
                <w:szCs w:val="22"/>
              </w:rPr>
              <w:t xml:space="preserve">Entity: C-Corp (Summit Technology Laboratory, incorporated in the US) — confirmed. No SAFE instrument identified. Lead investor: Golden Seeds (women-focused angel network, ~$190M deployed; December 2024 investment memo on file). Named, credible, sector-relevant lead. Current round: $750K Bridge Convertible Note, signed December 2025. Terms: $10M valuation cap, 20% discount, 6% annual interest, 2-year maturity. $460K raised to date; $290K remaining to close.</w:t>
            </w:r>
          </w:p>
          <w:p>
            <w:pPr>
              <w:spacing w:after="60" w:before="60"/>
              <w:jc w:val="left"/>
            </w:pPr>
            <w:r>
              <w:rPr>
                <w:rFonts w:ascii="Arial" w:cs="Arial" w:eastAsia="Arial" w:hAnsi="Arial"/>
                <w:b w:val="false"/>
                <w:bCs w:val="false"/>
                <w:color w:val="000000"/>
                <w:sz w:val="22"/>
                <w:szCs w:val="22"/>
              </w:rPr>
              <w:t xml:space="preserve">Cap table (January 6, 2026 snapshot on file): Majumder, Gopi, Clark, Bharati confirmed as shareholders. Prior financing: $1.3M Seed (July 2022); $600K in prior convertible notes outstanding (in addition to current $750K bridge). Total raised: ~$2.2M+ excluding SBIR non-dilutive grants (~$6M in grants since inception, not on cap table). SBIR non-dilutive funding offsets significant R&amp;D capital requirements.</w:t>
            </w:r>
          </w:p>
          <w:p>
            <w:pPr>
              <w:spacing w:after="60" w:before="60"/>
              <w:jc w:val="left"/>
            </w:pPr>
            <w:r>
              <w:rPr>
                <w:rFonts w:ascii="Arial" w:cs="Arial" w:eastAsia="Arial" w:hAnsi="Arial"/>
                <w:b w:val="false"/>
                <w:bCs w:val="false"/>
                <w:color w:val="000000"/>
                <w:sz w:val="22"/>
                <w:szCs w:val="22"/>
              </w:rPr>
              <w:t xml:space="preserve">⚠ Non-standard term: 1.5× liquidation preference on the convertible note is atypical for a bridge instrument and will create friction with Series A priced-round investors. NWAi should request reduction to 1.0× or removal as a condition of closing. Additional legal review required: (1) UCI patent license change-of-control transfer provision — 'unless new owner wishes to renegotiate' language introduces M&amp;A uncertainty; (2) fully diluted cap table at all conversion scenarios not yet provided — model 1.5× preference impact on exit waterfall required before NWAi commits.</w:t>
            </w:r>
          </w:p>
        </w:tc>
        <w:tc>
          <w:tcPr>
            <w:tcW w:type="dxa" w:w="860"/>
            <w:shd w:fill="FFC000" w:color="auto" w:val="clear"/>
            <w:tcMar>
              <w:top w:type="dxa" w:w="100"/>
              <w:left w:type="dxa" w:w="80"/>
              <w:bottom w:type="dxa" w:w="100"/>
              <w:right w:type="dxa" w:w="80"/>
            </w:tcMar>
            <w:vAlign w:val="center"/>
          </w:tcPr>
          <w:p>
            <w:pPr>
              <w:spacing w:after="60" w:before="60"/>
              <w:jc w:val="center"/>
            </w:pPr>
            <w:r>
              <w:rPr>
                <w:rFonts w:ascii="Arial" w:cs="Arial" w:eastAsia="Arial" w:hAnsi="Arial"/>
                <w:b/>
                <w:bCs/>
                <w:color w:val="000000"/>
                <w:sz w:val="32"/>
                <w:szCs w:val="32"/>
              </w:rPr>
              <w:t xml:space="preserve">3</w:t>
            </w:r>
          </w:p>
        </w:tc>
      </w:tr>
    </w:tbl>
    <w:p>
      <w:pPr>
        <w:spacing w:after="0" w:before="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0"/>
        <w:gridCol w:w="860"/>
      </w:tblGrid>
      <w:tr>
        <w:tc>
          <w:tcPr>
            <w:tcW w:type="dxa" w:w="85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10. FINANCIALS</w:t>
            </w:r>
          </w:p>
        </w:tc>
        <w:tc>
          <w:tcPr>
            <w:tcW w:type="dxa" w:w="8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Score</w:t>
            </w:r>
          </w:p>
        </w:tc>
      </w:tr>
      <w:tr>
        <w:tc>
          <w:tcPr>
            <w:tcW w:type="dxa" w:w="8500"/>
            <w:shd w:fill="FFFFFF" w:color="auto" w:val="clear"/>
            <w:tcMar>
              <w:top w:type="dxa" w:w="100"/>
              <w:left w:type="dxa" w:w="140"/>
              <w:bottom w:type="dxa" w:w="100"/>
              <w:right w:type="dxa" w:w="100"/>
            </w:tcMar>
          </w:tcPr>
          <w:p>
            <w:pPr>
              <w:spacing w:after="60" w:before="60"/>
              <w:jc w:val="left"/>
            </w:pPr>
            <w:r>
              <w:rPr>
                <w:rFonts w:ascii="Arial" w:cs="Arial" w:eastAsia="Arial" w:hAnsi="Arial"/>
                <w:b w:val="false"/>
                <w:bCs w:val="false"/>
                <w:color w:val="000000"/>
                <w:sz w:val="22"/>
                <w:szCs w:val="22"/>
              </w:rPr>
              <w:t xml:space="preserve">2025 Actuals (P&amp;L on file): Total Revenue $479,786 — SBIR Research Awards $429,766 (90%) and Consulting $50,020 (10%). Commercial subscription or SaaS license revenue: $0 reported. Total expenses $1,341,246 — payroll $633,913, non-cash Section 174 R&amp;D amortization $441,075, contractor costs $162,500 (one-time Q2 build). Net loss ($860,866). Cash December 31, 2025: $195,089. Long-term convertible notes: $600K. Bridge note signed December 2025: $750K. Total outstanding debt: ~$1.35M. Monthly cash burn: approximately $85K.</w:t>
            </w:r>
          </w:p>
          <w:p>
            <w:pPr>
              <w:spacing w:after="60" w:before="60"/>
              <w:jc w:val="left"/>
            </w:pPr>
            <w:r>
              <w:rPr>
                <w:rFonts w:ascii="Arial" w:cs="Arial" w:eastAsia="Arial" w:hAnsi="Arial"/>
                <w:b w:val="false"/>
                <w:bCs w:val="false"/>
                <w:color w:val="000000"/>
                <w:sz w:val="22"/>
                <w:szCs w:val="22"/>
              </w:rPr>
              <w:t xml:space="preserve">Runway: $195K cash + $750K bridge = $945K. At $85K/month burn, this implies approximately 11 months from full bridge close. The remaining $290K must be funded by April 30, 2026 to confirm the runway. Critical: if the bridge does not close in full, or if Panasonic/NPI-AV contract payment milestones slip 60–90 days, cash runway falls below 6 months — existential territory. The next raise is the Series A; a failed bridge or prolonged runway crisis will substantially impair Series A negotiating leverage.</w:t>
            </w:r>
          </w:p>
          <w:p>
            <w:pPr>
              <w:spacing w:after="60" w:before="60"/>
              <w:jc w:val="left"/>
            </w:pPr>
            <w:r>
              <w:rPr>
                <w:rFonts w:ascii="Arial" w:cs="Arial" w:eastAsia="Arial" w:hAnsi="Arial"/>
                <w:b w:val="false"/>
                <w:bCs w:val="false"/>
                <w:color w:val="000000"/>
                <w:sz w:val="22"/>
                <w:szCs w:val="22"/>
              </w:rPr>
              <w:t xml:space="preserve">Use of Capital ($750K Bridge): GTM Hiring and Marketing $345K (46%) — sales lead hire and channel marketing, top priority given the constraint is pipeline velocity, not product readiness; R&amp;D $315K (42%) — Artemis platform enhancements, LED edge-blending R&amp;D, system monitoring tools; G&amp;A $90K (12%) — legal, administrative, accounting, working capital. Total: $750K. Allocation is credible and appropriately weighted toward commercial acceleration.</w:t>
            </w:r>
          </w:p>
          <w:p>
            <w:pPr>
              <w:spacing w:after="60" w:before="60"/>
              <w:jc w:val="left"/>
            </w:pPr>
            <w:r>
              <w:rPr>
                <w:rFonts w:ascii="Arial" w:cs="Arial" w:eastAsia="Arial" w:hAnsi="Arial"/>
                <w:b w:val="false"/>
                <w:bCs w:val="false"/>
                <w:color w:val="000000"/>
                <w:sz w:val="22"/>
                <w:szCs w:val="22"/>
              </w:rPr>
              <w:t xml:space="preserve">Pro Forma Revenue — NWAi Model (not company projections): Year 2026: Bear $600K | Base $900K | Bull $1.5M. Year 2027: Bear $840K | Base $1.8M | Bull $4.0M. Year 2028: Bear $1.1M | Base $3.5M | Bull $9.5M. Year 2029: Bear $1.3M | Base $5.5M | Bull $16.0M. Year 2030: Bear $1.5M | Base $7.5M | Bull $22.4M. EBITDA: Bear — negative through 2030; Base — breakeven 2028, $2M by 2030; Bull — profitable 2027, $8M by 2030. 10x return viability: CONDITIONAL. Base exit ($7.5M ARR x 6x = $45M) is marginal depending on NWAi entry valuation. Bull exit ($22.4M ARR x 6x = $134M) supports 10x. IC should explicitly underwrite the OEM channel scale-up thesis or document the return gap. Financial Risk 8/10 maps to Score 2.</w:t>
            </w:r>
          </w:p>
        </w:tc>
        <w:tc>
          <w:tcPr>
            <w:tcW w:type="dxa" w:w="860"/>
            <w:shd w:fill="C00000" w:color="auto" w:val="clear"/>
            <w:tcMar>
              <w:top w:type="dxa" w:w="100"/>
              <w:left w:type="dxa" w:w="80"/>
              <w:bottom w:type="dxa" w:w="100"/>
              <w:right w:type="dxa" w:w="80"/>
            </w:tcMar>
            <w:vAlign w:val="center"/>
          </w:tcPr>
          <w:p>
            <w:pPr>
              <w:spacing w:after="60" w:before="60"/>
              <w:jc w:val="center"/>
            </w:pPr>
            <w:r>
              <w:rPr>
                <w:rFonts w:ascii="Arial" w:cs="Arial" w:eastAsia="Arial" w:hAnsi="Arial"/>
                <w:b/>
                <w:bCs/>
                <w:color w:val="FFFFFF"/>
                <w:sz w:val="32"/>
                <w:szCs w:val="32"/>
              </w:rPr>
              <w:t xml:space="preserve">2</w:t>
            </w:r>
          </w:p>
        </w:tc>
      </w:tr>
    </w:tbl>
    <w:p>
      <w:pPr>
        <w:spacing w:after="0" w:before="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0"/>
        <w:gridCol w:w="860"/>
      </w:tblGrid>
      <w:tr>
        <w:tc>
          <w:tcPr>
            <w:tcW w:type="dxa" w:w="85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11. RISK  (5 = lowest risk / best  |  1 = highest risk / worst)</w:t>
            </w:r>
          </w:p>
        </w:tc>
        <w:tc>
          <w:tcPr>
            <w:tcW w:type="dxa" w:w="8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Score</w:t>
            </w:r>
          </w:p>
        </w:tc>
      </w:tr>
      <w:tr>
        <w:tc>
          <w:tcPr>
            <w:tcW w:type="dxa" w:w="8500"/>
            <w:shd w:fill="FFFFFF" w:color="auto" w:val="clear"/>
            <w:tcMar>
              <w:top w:type="dxa" w:w="100"/>
              <w:left w:type="dxa" w:w="140"/>
              <w:bottom w:type="dxa" w:w="100"/>
              <w:right w:type="dxa" w:w="100"/>
            </w:tcMar>
          </w:tcPr>
          <w:p>
            <w:pPr>
              <w:spacing w:after="60" w:before="60"/>
              <w:jc w:val="left"/>
            </w:pPr>
            <w:r>
              <w:rPr>
                <w:rFonts w:ascii="Arial" w:cs="Arial" w:eastAsia="Arial" w:hAnsi="Arial"/>
                <w:b w:val="false"/>
                <w:bCs w:val="false"/>
                <w:color w:val="000000"/>
                <w:sz w:val="22"/>
                <w:szCs w:val="22"/>
              </w:rPr>
              <w:t xml:space="preserve">The three most significant risks are Financial (runway is existential — 8/10), Execution (thin team at a pivotal commercial inflection — 7/10), and Competitive (feature parity narrowing with well-resourced incumbents embedding AI calibration in their own hardware ecosystems — 7/10). Technical risk is the lowest dimension: the technology is mature, field-deployed, and independently validated by Panasonic. No single risk scores 10; no two scores reach 9+. Does not trigger deal-breaker flag per NWAi rubric.</w:t>
            </w:r>
          </w:p>
          <w:p>
            <w:pPr>
              <w:spacing w:after="60" w:before="60"/>
              <w:jc w:val="left"/>
            </w:pPr>
            <w:r>
              <w:rPr>
                <w:rFonts w:ascii="Arial" w:cs="Arial" w:eastAsia="Arial" w:hAnsi="Arial"/>
                <w:b w:val="false"/>
                <w:bCs w:val="false"/>
                <w:color w:val="000000"/>
                <w:sz w:val="22"/>
                <w:szCs w:val="22"/>
              </w:rPr>
              <w:t xml:space="preserve">Single biggest execution risk: the entire commercial engine runs through one partner (Panasonic), and Dr. Majumder is a world-class researcher — not a proven enterprise sales operator. If the Panasonic channel stalls or Panasonic internalizes the technology, STL has no alternative revenue engine to reach $10M ARR.</w:t>
            </w:r>
          </w:p>
          <w:p>
            <w:pPr>
              <w:spacing w:after="60" w:before="60"/>
              <w:jc w:val="left"/>
            </w:pPr>
            <w:r>
              <w:rPr>
                <w:rFonts w:ascii="Arial" w:cs="Arial" w:eastAsia="Arial" w:hAnsi="Arial"/>
                <w:b w:val="false"/>
                <w:bCs w:val="false"/>
                <w:color w:val="000000"/>
                <w:sz w:val="22"/>
                <w:szCs w:val="22"/>
              </w:rPr>
              <w:t xml:space="preserve">Risk Summary Table: Execution: 7/10 — 3–6 person team; Majumder/Gopi maintain full-time UCI roles; CEO Clark has no tech startup experience; COO identity unconfirmed. | Market: 6/10 — Long government procurement cycles; incumbents embedding AI calibration; feature parity narrowing; 12–24 month moat window. | Financial: 8/10 [CRITICAL] — $195K cash + $750K bridge ~11 months runway; 90% of 2025 revenue is non-recurring SBIR; no commercial ARR confirmed. | Technical: 4/10 — TRL 7–8 with working deployments; main risks are CMMC/FedRAMP path for defense expansion and 144-projector scale validation. | Competitive: 7/10 — Scalable Display entrenched in defense simulation; Panasonic ET-SWR10 directly competing; open-source alternatives available free. | Overall Average: 6.4/10 — Moderate risk profile. No deal-breaker scores. Financial Risk (8/10) is the critical flag; must be resolved before capital deployment.</w:t>
            </w:r>
          </w:p>
        </w:tc>
        <w:tc>
          <w:tcPr>
            <w:tcW w:type="dxa" w:w="860"/>
            <w:shd w:fill="FFC000" w:color="auto" w:val="clear"/>
            <w:tcMar>
              <w:top w:type="dxa" w:w="100"/>
              <w:left w:type="dxa" w:w="80"/>
              <w:bottom w:type="dxa" w:w="100"/>
              <w:right w:type="dxa" w:w="80"/>
            </w:tcMar>
            <w:vAlign w:val="center"/>
          </w:tcPr>
          <w:p>
            <w:pPr>
              <w:spacing w:after="60" w:before="60"/>
              <w:jc w:val="center"/>
            </w:pPr>
            <w:r>
              <w:rPr>
                <w:rFonts w:ascii="Arial" w:cs="Arial" w:eastAsia="Arial" w:hAnsi="Arial"/>
                <w:b/>
                <w:bCs/>
                <w:color w:val="000000"/>
                <w:sz w:val="32"/>
                <w:szCs w:val="32"/>
              </w:rPr>
              <w:t xml:space="preserve">3</w:t>
            </w:r>
          </w:p>
        </w:tc>
      </w:tr>
    </w:tbl>
    <w:p>
      <w:pPr>
        <w:spacing w:after="0" w:before="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0"/>
        <w:gridCol w:w="860"/>
      </w:tblGrid>
      <w:tr>
        <w:tc>
          <w:tcPr>
            <w:tcW w:type="dxa" w:w="85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12. EXIT STRATEGY</w:t>
            </w:r>
          </w:p>
        </w:tc>
        <w:tc>
          <w:tcPr>
            <w:tcW w:type="dxa" w:w="8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Score</w:t>
            </w:r>
          </w:p>
        </w:tc>
      </w:tr>
      <w:tr>
        <w:tc>
          <w:tcPr>
            <w:tcW w:type="dxa" w:w="8500"/>
            <w:shd w:fill="FFFFFF" w:color="auto" w:val="clear"/>
            <w:tcMar>
              <w:top w:type="dxa" w:w="100"/>
              <w:left w:type="dxa" w:w="140"/>
              <w:bottom w:type="dxa" w:w="100"/>
              <w:right w:type="dxa" w:w="100"/>
            </w:tcMar>
          </w:tcPr>
          <w:p>
            <w:pPr>
              <w:spacing w:after="60" w:before="60"/>
              <w:jc w:val="left"/>
            </w:pPr>
            <w:r>
              <w:rPr>
                <w:rFonts w:ascii="Arial" w:cs="Arial" w:eastAsia="Arial" w:hAnsi="Arial"/>
                <w:b w:val="false"/>
                <w:bCs w:val="false"/>
                <w:color w:val="000000"/>
                <w:sz w:val="22"/>
                <w:szCs w:val="22"/>
              </w:rPr>
              <w:t xml:space="preserve">Most likely exit: Strategic M&amp;A acquisition, 2029–2031 (5–7 year horizon from investment). Primary acquirer: Panasonic — active production deployment, independent technology validation ('10 years ahead'), and an informal acquisition inquiry already raised unprompted by Panasonic engineering during the pitch. Acquiring Artemis would give Panasonic a proprietary calibration software moat across its projector hardware line and a defensible position in the immersive display market before Christie or Barco closes the gap.</w:t>
            </w:r>
          </w:p>
          <w:p>
            <w:pPr>
              <w:spacing w:after="60" w:before="60"/>
              <w:jc w:val="left"/>
            </w:pPr>
            <w:r>
              <w:rPr>
                <w:rFonts w:ascii="Arial" w:cs="Arial" w:eastAsia="Arial" w:hAnsi="Arial"/>
                <w:b w:val="false"/>
                <w:bCs w:val="false"/>
                <w:color w:val="000000"/>
                <w:sz w:val="22"/>
                <w:szCs w:val="22"/>
              </w:rPr>
              <w:t xml:space="preserve">Secondary acquirers: Christie Digital (embed Artemis in Christie Mystique ecosystem); Barco (hardware-software bundle strategy); Scalable Display Technologies (eliminate primary arbitrary-surface competitor in defense simulation); Leidos or L3Harris (defense prime seeking immersive training simulation software stack); NVIDIA (warp+blend + GPU compute synergy); Dolby (immersive experience portfolio, longer-horizon strategic option). M&amp;A activity in AV/immersive display is active. Disney interest was noted organically by the founder during the pitch.</w:t>
            </w:r>
          </w:p>
          <w:p>
            <w:pPr>
              <w:spacing w:after="60" w:before="60"/>
              <w:jc w:val="left"/>
            </w:pPr>
            <w:r>
              <w:rPr>
                <w:rFonts w:ascii="Arial" w:cs="Arial" w:eastAsia="Arial" w:hAnsi="Arial"/>
                <w:b w:val="false"/>
                <w:bCs w:val="false"/>
                <w:color w:val="000000"/>
                <w:sz w:val="22"/>
                <w:szCs w:val="22"/>
              </w:rPr>
              <w:t xml:space="preserve">Exit scenarios (NWAi model): Bear — $1.5M ARR x 5x = $7.5M; does not support 10x at most entry valuations. Base — $7.5M ARR x 6x = $45M; marginal for 10x, depends on entry valuation and NWAi check size. Bull — $22.4M ARR x 6x = $134M; strongly supports 10x. Panasonic acquisition, if formalized before $10M ARR, could produce a compressed timeline exit at strategic premium above model multiples. IC should explicitly underwrite the OEM channel scale-up thesis or document the return gap at proposed check size.</w:t>
            </w:r>
          </w:p>
        </w:tc>
        <w:tc>
          <w:tcPr>
            <w:tcW w:type="dxa" w:w="860"/>
            <w:shd w:fill="375623" w:color="auto" w:val="clear"/>
            <w:tcMar>
              <w:top w:type="dxa" w:w="100"/>
              <w:left w:type="dxa" w:w="80"/>
              <w:bottom w:type="dxa" w:w="100"/>
              <w:right w:type="dxa" w:w="80"/>
            </w:tcMar>
            <w:vAlign w:val="center"/>
          </w:tcPr>
          <w:p>
            <w:pPr>
              <w:spacing w:after="60" w:before="60"/>
              <w:jc w:val="center"/>
            </w:pPr>
            <w:r>
              <w:rPr>
                <w:rFonts w:ascii="Arial" w:cs="Arial" w:eastAsia="Arial" w:hAnsi="Arial"/>
                <w:b/>
                <w:bCs/>
                <w:color w:val="FFFFFF"/>
                <w:sz w:val="32"/>
                <w:szCs w:val="32"/>
              </w:rPr>
              <w:t xml:space="preserve">4</w:t>
            </w:r>
          </w:p>
        </w:tc>
      </w:tr>
    </w:tbl>
    <w:p>
      <w:pPr>
        <w:spacing w:after="0" w:before="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0"/>
        <w:gridCol w:w="860"/>
      </w:tblGrid>
      <w:tr>
        <w:tc>
          <w:tcPr>
            <w:tcW w:type="dxa" w:w="85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13. WHAT IS THE BET WE ARE MAKING</w:t>
            </w:r>
          </w:p>
        </w:tc>
        <w:tc>
          <w:tcPr>
            <w:tcW w:type="dxa" w:w="8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Score</w:t>
            </w:r>
          </w:p>
        </w:tc>
      </w:tr>
      <w:tr>
        <w:tc>
          <w:tcPr>
            <w:tcW w:type="dxa" w:w="8500"/>
            <w:shd w:fill="FFFFFF" w:color="auto" w:val="clear"/>
            <w:tcMar>
              <w:top w:type="dxa" w:w="100"/>
              <w:left w:type="dxa" w:w="140"/>
              <w:bottom w:type="dxa" w:w="100"/>
              <w:right w:type="dxa" w:w="100"/>
            </w:tcMar>
          </w:tcPr>
          <w:p>
            <w:pPr>
              <w:spacing w:after="60" w:before="60"/>
              <w:jc w:val="left"/>
            </w:pPr>
            <w:r>
              <w:rPr>
                <w:rFonts w:ascii="Arial" w:cs="Arial" w:eastAsia="Arial" w:hAnsi="Arial"/>
                <w:b w:val="false"/>
                <w:bCs w:val="false"/>
                <w:color w:val="000000"/>
                <w:sz w:val="22"/>
                <w:szCs w:val="22"/>
              </w:rPr>
              <w:t xml:space="preserve">Consensus view: STL is a niche deep-tech company with a brilliant technical founder who built a genuinely innovative product — but the AI moat scores weak at 3/10, the balance sheet is fragile with 8/10 financial risk, GTM is concentrated on a single OEM partner, the SAM ceiling is too small for venture-scale returns without significant market expansion, and the CEO has no tech startup execution track record. Conventional pass thesis: too capital-constrained, too moat-thin, too channel-concentrated.</w:t>
            </w:r>
          </w:p>
          <w:p>
            <w:pPr>
              <w:spacing w:after="60" w:before="60"/>
              <w:jc w:val="left"/>
            </w:pPr>
            <w:r>
              <w:rPr>
                <w:rFonts w:ascii="Arial" w:cs="Arial" w:eastAsia="Arial" w:hAnsi="Arial"/>
                <w:b w:val="false"/>
                <w:bCs w:val="false"/>
                <w:color w:val="000000"/>
                <w:sz w:val="22"/>
                <w:szCs w:val="22"/>
              </w:rPr>
              <w:t xml:space="preserve">Our bet: Dr. Majumder's 30 years of foundational projection science research has produced a defensible calibration capability the market demonstrably wants — validated not by a warm intro or a deck claim, but by a Fortune 500 OEM engineering team independently calling it '10 years ahead' of any commercial alternative and raising an acquisition conversation unprompted. The moat is not a data flywheel today, but it is a workflow moat: once Artemis is embedded in a venue's permanent operations, switching is genuinely painful. The Panasonic relationship is an accelerant — a distribution channel that can grow STL's revenue without proportional headcount growth, and that validates exit optionality at a strategic premium.</w:t>
            </w:r>
          </w:p>
          <w:p>
            <w:pPr>
              <w:spacing w:after="60" w:before="60"/>
              <w:jc w:val="left"/>
            </w:pPr>
            <w:r>
              <w:rPr>
                <w:rFonts w:ascii="Arial" w:cs="Arial" w:eastAsia="Arial" w:hAnsi="Arial"/>
                <w:b w:val="false"/>
                <w:bCs w:val="false"/>
                <w:color w:val="000000"/>
                <w:sz w:val="22"/>
                <w:szCs w:val="22"/>
              </w:rPr>
              <w:t xml:space="preserve">The single condition that determines whether this bet pays: does VP Sales David Snyder — funded by this bridge note — open a diversified commercial pipeline beyond Panasonic within 12 months? If yes, STL has a credible path to $3.5M+ Base ARR by 2028 and a strategic acquisition exit in the $45–60M range. If no, the Panasonic channel dependency becomes the kill condition at Series A, and the 10x return scenario depends entirely on the Bull case materializing.</w:t>
            </w:r>
          </w:p>
        </w:tc>
        <w:tc>
          <w:tcPr>
            <w:tcW w:type="dxa" w:w="860"/>
            <w:shd w:fill="FFC000" w:color="auto" w:val="clear"/>
            <w:tcMar>
              <w:top w:type="dxa" w:w="100"/>
              <w:left w:type="dxa" w:w="80"/>
              <w:bottom w:type="dxa" w:w="100"/>
              <w:right w:type="dxa" w:w="80"/>
            </w:tcMar>
            <w:vAlign w:val="center"/>
          </w:tcPr>
          <w:p>
            <w:pPr>
              <w:spacing w:after="60" w:before="60"/>
              <w:jc w:val="center"/>
            </w:pPr>
            <w:r>
              <w:rPr>
                <w:rFonts w:ascii="Arial" w:cs="Arial" w:eastAsia="Arial" w:hAnsi="Arial"/>
                <w:b/>
                <w:bCs/>
                <w:color w:val="000000"/>
                <w:sz w:val="32"/>
                <w:szCs w:val="32"/>
              </w:rPr>
              <w:t xml:space="preserve">3</w:t>
            </w:r>
          </w:p>
        </w:tc>
      </w:tr>
    </w:tbl>
    <w:p>
      <w:pPr>
        <w:spacing w:after="0" w:before="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RECOMMENDATION</w:t>
            </w:r>
          </w:p>
        </w:tc>
      </w:tr>
      <w:tr>
        <w:tc>
          <w:tcPr>
            <w:tcW w:type="dxa" w:w="9360"/>
            <w:tcMar>
              <w:top w:type="dxa" w:w="100"/>
              <w:left w:type="dxa" w:w="160"/>
              <w:bottom w:type="dxa" w:w="100"/>
              <w:right w:type="dxa" w:w="160"/>
            </w:tcMar>
          </w:tcPr>
          <w:p>
            <w:pPr>
              <w:spacing w:after="80" w:before="80"/>
              <w:jc w:val="left"/>
            </w:pPr>
            <w:r>
              <w:rPr>
                <w:rFonts w:ascii="Arial" w:cs="Arial" w:eastAsia="Arial" w:hAnsi="Arial"/>
                <w:b/>
                <w:bCs/>
                <w:color w:val="000000"/>
                <w:sz w:val="22"/>
                <w:szCs w:val="22"/>
              </w:rPr>
              <w:t xml:space="preserve">NWAi TechGroup Recommendation:</w:t>
            </w:r>
          </w:p>
          <w:p>
            <w:pPr>
              <w:spacing w:after="40" w:before="60"/>
              <w:jc w:val="left"/>
            </w:pPr>
            <w:r>
              <w:rPr>
                <w:rFonts w:ascii="Arial" w:cs="Arial" w:eastAsia="Arial" w:hAnsi="Arial"/>
                <w:b/>
                <w:bCs/>
                <w:color w:val="000000"/>
                <w:sz w:val="22"/>
                <w:szCs w:val="22"/>
              </w:rPr>
              <w:t xml:space="preserve">☒  INVEST — [NWAi check size: TO BE CONFIRMED]</w:t>
            </w:r>
          </w:p>
          <w:p>
            <w:pPr>
              <w:spacing w:after="40" w:before="40"/>
              <w:jc w:val="left"/>
            </w:pPr>
            <w:r>
              <w:rPr>
                <w:rFonts w:ascii="Arial" w:cs="Arial" w:eastAsia="Arial" w:hAnsi="Arial"/>
                <w:b w:val="false"/>
                <w:bCs w:val="false"/>
                <w:color w:val="000000"/>
                <w:sz w:val="22"/>
                <w:szCs w:val="22"/>
              </w:rPr>
              <w:t xml:space="preserve">☐  WATCH — Re-evaluate at bridge close</w:t>
            </w:r>
          </w:p>
          <w:p>
            <w:pPr>
              <w:spacing w:after="80" w:before="40"/>
              <w:jc w:val="left"/>
            </w:pPr>
            <w:r>
              <w:rPr>
                <w:rFonts w:ascii="Arial" w:cs="Arial" w:eastAsia="Arial" w:hAnsi="Arial"/>
                <w:b w:val="false"/>
                <w:bCs w:val="false"/>
                <w:color w:val="000000"/>
                <w:sz w:val="22"/>
                <w:szCs w:val="22"/>
              </w:rPr>
              <w:t xml:space="preserve">☐  PASS — Do not invest</w:t>
            </w:r>
          </w:p>
          <w:p>
            <w:pPr>
              <w:spacing w:after="80" w:before="80"/>
              <w:jc w:val="left"/>
            </w:pPr>
            <w:r>
              <w:rPr>
                <w:rFonts w:ascii="Arial" w:cs="Arial" w:eastAsia="Arial" w:hAnsi="Arial"/>
                <w:b/>
                <w:bCs/>
                <w:color w:val="000000"/>
                <w:sz w:val="22"/>
                <w:szCs w:val="22"/>
              </w:rPr>
              <w:t xml:space="preserve">Rationale:  </w:t>
            </w:r>
            <w:r>
              <w:rPr>
                <w:rFonts w:ascii="Arial" w:cs="Arial" w:eastAsia="Arial" w:hAnsi="Arial"/>
                <w:b w:val="false"/>
                <w:bCs w:val="false"/>
                <w:color w:val="000000"/>
                <w:sz w:val="22"/>
                <w:szCs w:val="22"/>
              </w:rPr>
              <w:t xml:space="preserve">STL is a technically exceptional but financially fragile deep-tech company at the edge of its first major commercial inflection. Dr. Majumder's 30-year foundational research has produced patented, field-validated calibration IP that a Fortune 500 OEM has independently called '10 years ahead' of any commercial alternative and has privately raised the topic of acquisition. The bet is that the bridge close enables the GTM hire that opens a diversified commercial pipeline, setting up a credible Series A at a valuation that supports the 10x return thesis in the Bull case. Entry is conditional on resolving the four gate-critical items below.</w:t>
            </w:r>
          </w:p>
          <w:p>
            <w:pPr>
              <w:spacing w:after="60" w:before="80"/>
              <w:jc w:val="left"/>
            </w:pPr>
            <w:r>
              <w:rPr>
                <w:rFonts w:ascii="Arial" w:cs="Arial" w:eastAsia="Arial" w:hAnsi="Arial"/>
                <w:b/>
                <w:bCs/>
                <w:color w:val="000000"/>
                <w:sz w:val="22"/>
                <w:szCs w:val="22"/>
              </w:rPr>
              <w:t xml:space="preserve">Conditions Before Capital Deployment:</w:t>
            </w:r>
          </w:p>
          <w:p>
            <w:pPr>
              <w:spacing w:after="40" w:before="40"/>
              <w:jc w:val="left"/>
            </w:pPr>
            <w:r>
              <w:rPr>
                <w:rFonts w:ascii="Arial" w:cs="Arial" w:eastAsia="Arial" w:hAnsi="Arial"/>
                <w:b w:val="false"/>
                <w:bCs w:val="false"/>
                <w:color w:val="000000"/>
                <w:sz w:val="22"/>
                <w:szCs w:val="22"/>
              </w:rPr>
              <w:t xml:space="preserve">1.  Bridge round confirmed closed with remaining $290K funded by April 30, 2026 — written confirmation required from Golden Seeds</w:t>
            </w:r>
          </w:p>
          <w:p>
            <w:pPr>
              <w:spacing w:after="40" w:before="40"/>
              <w:jc w:val="left"/>
            </w:pPr>
            <w:r>
              <w:rPr>
                <w:rFonts w:ascii="Arial" w:cs="Arial" w:eastAsia="Arial" w:hAnsi="Arial"/>
                <w:b w:val="false"/>
                <w:bCs w:val="false"/>
                <w:color w:val="000000"/>
                <w:sz w:val="22"/>
                <w:szCs w:val="22"/>
              </w:rPr>
              <w:t xml:space="preserve">2.  ARR composition confirmed: ≥40% recurring SaaS/AMC revenue (not one-time capex) from existing contracts before capital deployment</w:t>
            </w:r>
          </w:p>
          <w:p>
            <w:pPr>
              <w:spacing w:after="40" w:before="40"/>
              <w:jc w:val="left"/>
            </w:pPr>
            <w:r>
              <w:rPr>
                <w:rFonts w:ascii="Arial" w:cs="Arial" w:eastAsia="Arial" w:hAnsi="Arial"/>
                <w:b w:val="false"/>
                <w:bCs w:val="false"/>
                <w:color w:val="000000"/>
                <w:sz w:val="22"/>
                <w:szCs w:val="22"/>
              </w:rPr>
              <w:t xml:space="preserve">3.  Legal review of 1.5× liquidation preference on convertible note — request reduction to 1.0× or removal as a condition of close</w:t>
            </w:r>
          </w:p>
          <w:p>
            <w:pPr>
              <w:spacing w:after="40" w:before="40"/>
              <w:jc w:val="left"/>
            </w:pPr>
            <w:r>
              <w:rPr>
                <w:rFonts w:ascii="Arial" w:cs="Arial" w:eastAsia="Arial" w:hAnsi="Arial"/>
                <w:b w:val="false"/>
                <w:bCs w:val="false"/>
                <w:color w:val="000000"/>
                <w:sz w:val="22"/>
                <w:szCs w:val="22"/>
              </w:rPr>
              <w:t xml:space="preserve">4.  UCI patent license change-of-control transfer provisions reviewed by NWAi counsel — confirm unambiguous IP transfer in acquisition scenario with no UCI consent rights</w:t>
            </w:r>
          </w:p>
          <w:p>
            <w:pPr>
              <w:spacing w:after="80" w:before="80"/>
              <w:jc w:val="left"/>
            </w:pPr>
            <w:r>
              <w:rPr>
                <w:rFonts w:ascii="Arial" w:cs="Arial" w:eastAsia="Arial" w:hAnsi="Arial"/>
                <w:b w:val="false"/>
                <w:bCs w:val="false"/>
                <w:color w:val="000000"/>
                <w:sz w:val="22"/>
                <w:szCs w:val="22"/>
              </w:rPr>
              <w:t xml:space="preserve">Theme: SW Enabled HW, Physical AI &amp; Robotics (Theme 2)  |  Lead: TBD — Pending Dealum API  |  SMEs: TBD — Pending Dealum API</w:t>
            </w:r>
          </w:p>
        </w:tc>
      </w:tr>
    </w:tbl>
    <w:p>
      <w:pPr>
        <w:spacing w:after="0" w:before="12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shd w:fill="1F3864" w:color="auto" w:val="clear"/>
            <w:tcMar>
              <w:top w:type="dxa" w:w="80"/>
              <w:left w:type="dxa" w:w="140"/>
              <w:bottom w:type="dxa" w:w="80"/>
              <w:right w:type="dxa" w:w="140"/>
            </w:tcMar>
          </w:tcPr>
          <w:p>
            <w:pPr>
              <w:spacing w:after="60" w:before="60"/>
              <w:jc w:val="left"/>
            </w:pPr>
            <w:r>
              <w:rPr>
                <w:rFonts w:ascii="Arial" w:cs="Arial" w:eastAsia="Arial" w:hAnsi="Arial"/>
                <w:b/>
                <w:bCs/>
                <w:color w:val="FFFFFF"/>
                <w:sz w:val="22"/>
                <w:szCs w:val="22"/>
              </w:rPr>
              <w:t xml:space="preserve">DD TEAM VOTES</w:t>
            </w:r>
          </w:p>
        </w:tc>
      </w:tr>
      <w:tr>
        <w:tc>
          <w:tcPr>
            <w:tcW w:type="dxa" w:w="234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Role</w:t>
            </w:r>
          </w:p>
        </w:tc>
        <w:tc>
          <w:tcPr>
            <w:tcW w:type="dxa" w:w="234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Name</w:t>
            </w:r>
          </w:p>
        </w:tc>
        <w:tc>
          <w:tcPr>
            <w:tcW w:type="dxa" w:w="234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Recommend</w:t>
            </w:r>
          </w:p>
        </w:tc>
        <w:tc>
          <w:tcPr>
            <w:tcW w:type="dxa" w:w="234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Add-On Interest</w:t>
            </w:r>
          </w:p>
        </w:tc>
      </w:tr>
      <w:tr>
        <w:tc>
          <w:tcPr>
            <w:tcW w:type="dxa" w:w="234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DD Committee Chair</w:t>
            </w:r>
          </w:p>
        </w:tc>
        <w:tc>
          <w:tcPr>
            <w:tcW w:type="dxa" w:w="234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[TO BE CONFIRMED]</w:t>
            </w:r>
          </w:p>
        </w:tc>
        <w:tc>
          <w:tcPr>
            <w:tcW w:type="dxa" w:w="234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Yes</w:t>
            </w:r>
          </w:p>
        </w:tc>
        <w:tc>
          <w:tcPr>
            <w:tcW w:type="dxa" w:w="234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w:t>
            </w:r>
          </w:p>
        </w:tc>
      </w:tr>
      <w:tr>
        <w:tc>
          <w:tcPr>
            <w:tcW w:type="dxa" w:w="234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DD Lead</w:t>
            </w:r>
          </w:p>
        </w:tc>
        <w:tc>
          <w:tcPr>
            <w:tcW w:type="dxa" w:w="234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[TO BE CONFIRMED]</w:t>
            </w:r>
          </w:p>
        </w:tc>
        <w:tc>
          <w:tcPr>
            <w:tcW w:type="dxa" w:w="234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Yes</w:t>
            </w:r>
          </w:p>
        </w:tc>
        <w:tc>
          <w:tcPr>
            <w:tcW w:type="dxa" w:w="234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w:t>
            </w:r>
          </w:p>
        </w:tc>
      </w:tr>
      <w:tr>
        <w:tc>
          <w:tcPr>
            <w:tcW w:type="dxa" w:w="234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DD Member</w:t>
            </w:r>
          </w:p>
        </w:tc>
        <w:tc>
          <w:tcPr>
            <w:tcW w:type="dxa" w:w="234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[TO BE CONFIRMED]</w:t>
            </w:r>
          </w:p>
        </w:tc>
        <w:tc>
          <w:tcPr>
            <w:tcW w:type="dxa" w:w="234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w:t>
            </w:r>
          </w:p>
        </w:tc>
        <w:tc>
          <w:tcPr>
            <w:tcW w:type="dxa" w:w="234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w:t>
            </w:r>
          </w:p>
        </w:tc>
      </w:tr>
      <w:tr>
        <w:tc>
          <w:tcPr>
            <w:tcW w:type="dxa" w:w="234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DD Member</w:t>
            </w:r>
          </w:p>
        </w:tc>
        <w:tc>
          <w:tcPr>
            <w:tcW w:type="dxa" w:w="234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[TO BE CONFIRMED]</w:t>
            </w:r>
          </w:p>
        </w:tc>
        <w:tc>
          <w:tcPr>
            <w:tcW w:type="dxa" w:w="234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w:t>
            </w:r>
          </w:p>
        </w:tc>
        <w:tc>
          <w:tcPr>
            <w:tcW w:type="dxa" w:w="234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w:t>
            </w:r>
          </w:p>
        </w:tc>
      </w:tr>
    </w:tbl>
    <w:p>
      <w:pPr>
        <w:spacing w:after="0" w:before="12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1800"/>
        <w:gridCol w:w="1400"/>
      </w:tblGrid>
      <w:tr>
        <w:tc>
          <w:tcPr>
            <w:tcW w:type="dxa" w:w="9360"/>
            <w:gridSpan w:val="4"/>
            <w:shd w:fill="1F3864" w:color="auto" w:val="clear"/>
            <w:tcMar>
              <w:top w:type="dxa" w:w="80"/>
              <w:left w:type="dxa" w:w="140"/>
              <w:bottom w:type="dxa" w:w="80"/>
              <w:right w:type="dxa" w:w="140"/>
            </w:tcMar>
          </w:tcPr>
          <w:p>
            <w:pPr>
              <w:spacing w:after="60" w:before="60"/>
              <w:jc w:val="left"/>
            </w:pPr>
            <w:r>
              <w:rPr>
                <w:rFonts w:ascii="Arial" w:cs="Arial" w:eastAsia="Arial" w:hAnsi="Arial"/>
                <w:b/>
                <w:bCs/>
                <w:color w:val="FFFFFF"/>
                <w:sz w:val="22"/>
                <w:szCs w:val="22"/>
              </w:rPr>
              <w:t xml:space="preserve">APPENDIX A — OUTSTANDING DILIGENCE ITEMS</w:t>
            </w:r>
          </w:p>
        </w:tc>
      </w:tr>
      <w:tr>
        <w:tc>
          <w:tcPr>
            <w:tcW w:type="dxa" w:w="20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DD Folder / Item</w:t>
            </w:r>
          </w:p>
        </w:tc>
        <w:tc>
          <w:tcPr>
            <w:tcW w:type="dxa" w:w="416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Action Required</w:t>
            </w:r>
          </w:p>
        </w:tc>
        <w:tc>
          <w:tcPr>
            <w:tcW w:type="dxa" w:w="18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Owner</w:t>
            </w:r>
          </w:p>
        </w:tc>
        <w:tc>
          <w:tcPr>
            <w:tcW w:type="dxa" w:w="1400"/>
            <w:shd w:fill="1F3864" w:color="auto" w:val="clear"/>
            <w:tcMar>
              <w:top w:type="dxa" w:w="80"/>
              <w:left w:type="dxa" w:w="120"/>
              <w:bottom w:type="dxa" w:w="80"/>
              <w:right w:type="dxa" w:w="120"/>
            </w:tcMar>
          </w:tcPr>
          <w:p>
            <w:pPr>
              <w:spacing w:after="60" w:before="60"/>
              <w:jc w:val="left"/>
            </w:pPr>
            <w:r>
              <w:rPr>
                <w:rFonts w:ascii="Arial" w:cs="Arial" w:eastAsia="Arial" w:hAnsi="Arial"/>
                <w:b/>
                <w:bCs/>
                <w:color w:val="FFFFFF"/>
                <w:sz w:val="22"/>
                <w:szCs w:val="22"/>
              </w:rPr>
              <w:t xml:space="preserve">Priority</w:t>
            </w:r>
          </w:p>
        </w:tc>
      </w:tr>
      <w:tr>
        <w:tc>
          <w:tcPr>
            <w:tcW w:type="dxa" w:w="2000"/>
            <w:shd w:fill="FFD7D7"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Financials — ARR Composition</w:t>
            </w:r>
          </w:p>
        </w:tc>
        <w:tc>
          <w:tcPr>
            <w:tcW w:type="dxa" w:w="4160"/>
            <w:shd w:fill="FFD7D7"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Confirm recurring SaaS/AMC vs. one-time capex revenue split; require ≥40% recurring before NWAi capital deployment</w:t>
            </w:r>
          </w:p>
        </w:tc>
        <w:tc>
          <w:tcPr>
            <w:tcW w:type="dxa" w:w="1800"/>
            <w:shd w:fill="FFD7D7"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 — Pending Dealum API</w:t>
            </w:r>
          </w:p>
        </w:tc>
        <w:tc>
          <w:tcPr>
            <w:tcW w:type="dxa" w:w="1400"/>
            <w:shd w:fill="FFD7D7"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GATE ❌</w:t>
            </w:r>
          </w:p>
        </w:tc>
      </w:tr>
      <w:tr>
        <w:tc>
          <w:tcPr>
            <w:tcW w:type="dxa" w:w="2000"/>
            <w:shd w:fill="FFD7D7"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Bridge Round — Close Confirmation</w:t>
            </w:r>
          </w:p>
        </w:tc>
        <w:tc>
          <w:tcPr>
            <w:tcW w:type="dxa" w:w="4160"/>
            <w:shd w:fill="FFD7D7"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Confirm remaining $290K closes by April 30, 2026; written confirmation from Golden Seeds required</w:t>
            </w:r>
          </w:p>
        </w:tc>
        <w:tc>
          <w:tcPr>
            <w:tcW w:type="dxa" w:w="1800"/>
            <w:shd w:fill="FFD7D7"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 — Pending Dealum API</w:t>
            </w:r>
          </w:p>
        </w:tc>
        <w:tc>
          <w:tcPr>
            <w:tcW w:type="dxa" w:w="1400"/>
            <w:shd w:fill="FFD7D7"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GATE ❌</w:t>
            </w:r>
          </w:p>
        </w:tc>
      </w:tr>
      <w:tr>
        <w:tc>
          <w:tcPr>
            <w:tcW w:type="dxa" w:w="2000"/>
            <w:shd w:fill="FFF3CD"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Deal Terms — Liquidation Preference</w:t>
            </w:r>
          </w:p>
        </w:tc>
        <w:tc>
          <w:tcPr>
            <w:tcW w:type="dxa" w:w="4160"/>
            <w:shd w:fill="FFF3CD"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Legal review of 1.5× liquidation preference; negotiate reduction to 1.0× or removal as close condition</w:t>
            </w:r>
          </w:p>
        </w:tc>
        <w:tc>
          <w:tcPr>
            <w:tcW w:type="dxa" w:w="1800"/>
            <w:shd w:fill="FFF3CD"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 — Pending Dealum API</w:t>
            </w:r>
          </w:p>
        </w:tc>
        <w:tc>
          <w:tcPr>
            <w:tcW w:type="dxa" w:w="1400"/>
            <w:shd w:fill="FFF3CD"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HIGH ⚠</w:t>
            </w:r>
          </w:p>
        </w:tc>
      </w:tr>
      <w:tr>
        <w:tc>
          <w:tcPr>
            <w:tcW w:type="dxa" w:w="2000"/>
            <w:shd w:fill="FFF3CD"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IP — UCI License (US9064312B2)</w:t>
            </w:r>
          </w:p>
        </w:tc>
        <w:tc>
          <w:tcPr>
            <w:tcW w:type="dxa" w:w="4160"/>
            <w:shd w:fill="FFF3CD"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Legal review of ownership vs. license status; confirm change-of-control transfer; assess UCI M&amp;A consent rights and royalty survival</w:t>
            </w:r>
          </w:p>
        </w:tc>
        <w:tc>
          <w:tcPr>
            <w:tcW w:type="dxa" w:w="1800"/>
            <w:shd w:fill="FFF3CD"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 — Pending Dealum API</w:t>
            </w:r>
          </w:p>
        </w:tc>
        <w:tc>
          <w:tcPr>
            <w:tcW w:type="dxa" w:w="1400"/>
            <w:shd w:fill="FFF3CD"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HIGH ⚠</w:t>
            </w:r>
          </w:p>
        </w:tc>
      </w:tr>
      <w:tr>
        <w:tc>
          <w:tcPr>
            <w:tcW w:type="dxa" w:w="2000"/>
            <w:shd w:fill="FFF3CD"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Cap Table — Full Dilution Model</w:t>
            </w:r>
          </w:p>
        </w:tc>
        <w:tc>
          <w:tcPr>
            <w:tcW w:type="dxa" w:w="4160"/>
            <w:shd w:fill="FFF3CD"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Provide fully diluted cap table at all conversion scenarios; model 1.5× preference impact on exit waterfall</w:t>
            </w:r>
          </w:p>
        </w:tc>
        <w:tc>
          <w:tcPr>
            <w:tcW w:type="dxa" w:w="1800"/>
            <w:shd w:fill="FFF3CD"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 — Pending Dealum API</w:t>
            </w:r>
          </w:p>
        </w:tc>
        <w:tc>
          <w:tcPr>
            <w:tcW w:type="dxa" w:w="1400"/>
            <w:shd w:fill="FFF3CD"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HIGH ⚠</w:t>
            </w:r>
          </w:p>
        </w:tc>
      </w:tr>
      <w:tr>
        <w:tc>
          <w:tcPr>
            <w:tcW w:type="dxa" w:w="200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NPIA LoI — Contract Binding Status</w:t>
            </w:r>
          </w:p>
        </w:tc>
        <w:tc>
          <w:tcPr>
            <w:tcW w:type="dxa" w:w="416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Confirm $1.1M NPIA LoI is binding; obtain payment milestone schedule and 144-projector deployment timeline</w:t>
            </w:r>
          </w:p>
        </w:tc>
        <w:tc>
          <w:tcPr>
            <w:tcW w:type="dxa" w:w="180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 — Pending Dealum API</w:t>
            </w:r>
          </w:p>
        </w:tc>
        <w:tc>
          <w:tcPr>
            <w:tcW w:type="dxa" w:w="140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MEDIUM</w:t>
            </w:r>
          </w:p>
        </w:tc>
      </w:tr>
      <w:tr>
        <w:tc>
          <w:tcPr>
            <w:tcW w:type="dxa" w:w="200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Unit Economics — LTV/CAC</w:t>
            </w:r>
          </w:p>
        </w:tc>
        <w:tc>
          <w:tcPr>
            <w:tcW w:type="dxa" w:w="416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Calculate formal CAC across Panasonic and NPI-AV deals; confirm LTV assumptions and churn on existing deployments</w:t>
            </w:r>
          </w:p>
        </w:tc>
        <w:tc>
          <w:tcPr>
            <w:tcW w:type="dxa" w:w="180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 — Pending Dealum API</w:t>
            </w:r>
          </w:p>
        </w:tc>
        <w:tc>
          <w:tcPr>
            <w:tcW w:type="dxa" w:w="140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MEDIUM</w:t>
            </w:r>
          </w:p>
        </w:tc>
      </w:tr>
      <w:tr>
        <w:tc>
          <w:tcPr>
            <w:tcW w:type="dxa" w:w="200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GTM Hire — Snyder Pipeline Plan</w:t>
            </w:r>
          </w:p>
        </w:tc>
        <w:tc>
          <w:tcPr>
            <w:tcW w:type="dxa" w:w="416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Confirm commercial pipeline plan beyond Panasonic; request 90-day ramp plan and targeted account list</w:t>
            </w:r>
          </w:p>
        </w:tc>
        <w:tc>
          <w:tcPr>
            <w:tcW w:type="dxa" w:w="180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 — Pending Dealum API</w:t>
            </w:r>
          </w:p>
        </w:tc>
        <w:tc>
          <w:tcPr>
            <w:tcW w:type="dxa" w:w="140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MEDIUM</w:t>
            </w:r>
          </w:p>
        </w:tc>
      </w:tr>
      <w:tr>
        <w:tc>
          <w:tcPr>
            <w:tcW w:type="dxa" w:w="200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Customer References</w:t>
            </w:r>
          </w:p>
        </w:tc>
        <w:tc>
          <w:tcPr>
            <w:tcW w:type="dxa" w:w="416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Reference calls with Panasonic engineering + NPI-AV PM; confirm deployment satisfaction, expansion intent, switching cost perception</w:t>
            </w:r>
          </w:p>
        </w:tc>
        <w:tc>
          <w:tcPr>
            <w:tcW w:type="dxa" w:w="180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 — Pending Dealum API</w:t>
            </w:r>
          </w:p>
        </w:tc>
        <w:tc>
          <w:tcPr>
            <w:tcW w:type="dxa" w:w="1400"/>
            <w:shd w:fill="F4F4F4"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MEDIUM</w:t>
            </w:r>
          </w:p>
        </w:tc>
      </w:tr>
      <w:tr>
        <w:tc>
          <w:tcPr>
            <w:tcW w:type="dxa" w:w="200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Panasonic Acquisition Signal</w:t>
            </w:r>
          </w:p>
        </w:tc>
        <w:tc>
          <w:tcPr>
            <w:tcW w:type="dxa" w:w="416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Clarify nature and timeline of acquisition inquiry; assess strategic optionality and compressed exit scenario for IC</w:t>
            </w:r>
          </w:p>
        </w:tc>
        <w:tc>
          <w:tcPr>
            <w:tcW w:type="dxa" w:w="180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TBD — Pending Dealum API</w:t>
            </w:r>
          </w:p>
        </w:tc>
        <w:tc>
          <w:tcPr>
            <w:tcW w:type="dxa" w:w="1400"/>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2"/>
                <w:szCs w:val="22"/>
              </w:rPr>
              <w:t xml:space="preserve">LOW</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Summit Technology Laboratory (STL)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New World Angels — Confidential Investment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2026-03-22T21:59:08.733Z</dcterms:created>
  <dcterms:modified xsi:type="dcterms:W3CDTF">2026-03-22T21:59:08.733Z</dcterms:modified>
</cp:coreProperties>
</file>

<file path=docProps/custom.xml><?xml version="1.0" encoding="utf-8"?>
<Properties xmlns="http://schemas.openxmlformats.org/officeDocument/2006/custom-properties" xmlns:vt="http://schemas.openxmlformats.org/officeDocument/2006/docPropsVTypes"/>
</file>