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58BF6" w14:textId="77777777" w:rsidR="003A2DE4" w:rsidRDefault="00000000">
      <w:pPr>
        <w:spacing w:after="60"/>
      </w:pPr>
      <w:r>
        <w:rPr>
          <w:rFonts w:ascii="Arial" w:eastAsia="Arial" w:hAnsi="Arial" w:cs="Arial"/>
          <w:b/>
          <w:bCs/>
          <w:color w:val="000000"/>
          <w:sz w:val="28"/>
          <w:szCs w:val="28"/>
        </w:rPr>
        <w:t>NWAi TechGroup — Due Diligence Investment Report</w:t>
      </w:r>
    </w:p>
    <w:p w14:paraId="776704D3" w14:textId="77777777" w:rsidR="003A2DE4" w:rsidRDefault="00000000">
      <w:pPr>
        <w:spacing w:after="160"/>
      </w:pPr>
      <w:r>
        <w:rPr>
          <w:rFonts w:ascii="Arial" w:eastAsia="Arial" w:hAnsi="Arial" w:cs="Arial"/>
          <w:b/>
          <w:bCs/>
          <w:color w:val="000000"/>
          <w:sz w:val="24"/>
          <w:szCs w:val="24"/>
        </w:rPr>
        <w:t>Synergist Technology, LLC (d/b/a AFFIRM)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2DE4" w14:paraId="79CA1CE1" w14:textId="77777777">
        <w:tblPrEx>
          <w:tblCellMar>
            <w:top w:w="0" w:type="dxa"/>
            <w:bottom w:w="0" w:type="dxa"/>
          </w:tblCellMar>
        </w:tblPrEx>
        <w:tc>
          <w:tcPr>
            <w:tcW w:w="9360" w:type="dxa"/>
            <w:shd w:val="clear" w:color="auto" w:fill="E8F5E9"/>
            <w:tcMar>
              <w:top w:w="100" w:type="dxa"/>
              <w:left w:w="160" w:type="dxa"/>
              <w:bottom w:w="100" w:type="dxa"/>
              <w:right w:w="160" w:type="dxa"/>
            </w:tcMar>
          </w:tcPr>
          <w:p w14:paraId="46311627" w14:textId="77777777" w:rsidR="003A2DE4" w:rsidRDefault="00000000">
            <w:pPr>
              <w:spacing w:before="60" w:after="60"/>
            </w:pPr>
            <w:r>
              <w:rPr>
                <w:rFonts w:ascii="Arial" w:eastAsia="Arial" w:hAnsi="Arial" w:cs="Arial"/>
                <w:b/>
                <w:bCs/>
                <w:color w:val="000000"/>
                <w:sz w:val="24"/>
                <w:szCs w:val="24"/>
              </w:rPr>
              <w:t>NWAi RECOMMENDATION: ☒ WATCH — Synergist Technology (AFFIRM)</w:t>
            </w:r>
          </w:p>
          <w:p w14:paraId="642BA79D" w14:textId="77777777" w:rsidR="003A2DE4" w:rsidRDefault="00000000">
            <w:pPr>
              <w:spacing w:before="40" w:after="60"/>
            </w:pPr>
            <w:r>
              <w:rPr>
                <w:rFonts w:ascii="Arial" w:eastAsia="Arial" w:hAnsi="Arial" w:cs="Arial"/>
                <w:color w:val="000000"/>
                <w:sz w:val="22"/>
                <w:szCs w:val="22"/>
              </w:rPr>
              <w:t>Watch contingent on: (1) C-Corp conversion confirmed with legal documentation, (2) round restructured from SAFE II to convertible note or priced equity, (3) institutional lead investor identified, and (4) CDW pipeline activation confirmed by direct reference call. Re-evaluate within 60 days of conditions being met.</w:t>
            </w:r>
          </w:p>
        </w:tc>
      </w:tr>
    </w:tbl>
    <w:p w14:paraId="59C2E4B0" w14:textId="77777777" w:rsidR="003A2DE4" w:rsidRDefault="003A2DE4">
      <w:pPr>
        <w:spacing w:before="40" w:after="40"/>
      </w:pPr>
    </w:p>
    <w:p w14:paraId="24CC2502" w14:textId="77777777" w:rsidR="003A2DE4" w:rsidRDefault="00000000">
      <w:pPr>
        <w:spacing w:after="160"/>
      </w:pPr>
      <w:r>
        <w:rPr>
          <w:rFonts w:ascii="Arial" w:eastAsia="Arial" w:hAnsi="Arial" w:cs="Arial"/>
          <w:color w:val="666666"/>
          <w:sz w:val="18"/>
          <w:szCs w:val="18"/>
        </w:rPr>
        <w:t>Scoring: 1 (lowest) to 5 (highest)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3320"/>
        <w:gridCol w:w="1360"/>
        <w:gridCol w:w="3320"/>
      </w:tblGrid>
      <w:tr w:rsidR="003A2DE4" w14:paraId="13F4833A" w14:textId="77777777">
        <w:tblPrEx>
          <w:tblCellMar>
            <w:top w:w="0" w:type="dxa"/>
            <w:bottom w:w="0" w:type="dxa"/>
          </w:tblCellMar>
        </w:tblPrEx>
        <w:tc>
          <w:tcPr>
            <w:tcW w:w="9360" w:type="dxa"/>
            <w:gridSpan w:val="4"/>
            <w:shd w:val="clear" w:color="auto" w:fill="1F3864"/>
            <w:tcMar>
              <w:top w:w="80" w:type="dxa"/>
              <w:left w:w="140" w:type="dxa"/>
              <w:bottom w:w="80" w:type="dxa"/>
              <w:right w:w="140" w:type="dxa"/>
            </w:tcMar>
          </w:tcPr>
          <w:p w14:paraId="46B474E0" w14:textId="77777777" w:rsidR="003A2DE4" w:rsidRDefault="00000000">
            <w:pPr>
              <w:spacing w:before="60" w:after="60"/>
            </w:pPr>
            <w:r>
              <w:rPr>
                <w:rFonts w:ascii="Arial" w:eastAsia="Arial" w:hAnsi="Arial" w:cs="Arial"/>
                <w:b/>
                <w:bCs/>
                <w:color w:val="FFFFFF"/>
                <w:sz w:val="22"/>
                <w:szCs w:val="22"/>
              </w:rPr>
              <w:t>COMPANY DESCRIPTION</w:t>
            </w:r>
          </w:p>
        </w:tc>
      </w:tr>
      <w:tr w:rsidR="003A2DE4" w14:paraId="0F9B6B8E" w14:textId="77777777">
        <w:tblPrEx>
          <w:tblCellMar>
            <w:top w:w="0" w:type="dxa"/>
            <w:bottom w:w="0" w:type="dxa"/>
          </w:tblCellMar>
        </w:tblPrEx>
        <w:tc>
          <w:tcPr>
            <w:tcW w:w="9360" w:type="dxa"/>
            <w:gridSpan w:val="4"/>
            <w:tcMar>
              <w:top w:w="100" w:type="dxa"/>
              <w:left w:w="140" w:type="dxa"/>
              <w:bottom w:w="100" w:type="dxa"/>
              <w:right w:w="140" w:type="dxa"/>
            </w:tcMar>
          </w:tcPr>
          <w:p w14:paraId="265B1759" w14:textId="77777777" w:rsidR="003A2DE4" w:rsidRDefault="00000000">
            <w:pPr>
              <w:spacing w:before="80" w:after="80"/>
            </w:pPr>
            <w:r>
              <w:rPr>
                <w:rFonts w:ascii="Arial" w:eastAsia="Arial" w:hAnsi="Arial" w:cs="Arial"/>
                <w:color w:val="000000"/>
                <w:sz w:val="21"/>
                <w:szCs w:val="21"/>
              </w:rPr>
              <w:t>Synergist Technology develops AFFIRM, an AI-powered AIOps and AI governance platform for federal agencies and large enterprise IT teams. AFFIRM ingests telemetry from multi-cloud and hybrid environments, applies machine learning to surface anomalies and recommended actions, and integrates natively with ServiceNow ITSM workflows. The platform provides continuous AI health monitoring, drift detection, policy enforcement, and automated audit reporting aligned to NIST AI RMF, EU AI Act, and OMB 25-21. Distributed channel-first through CDW (which has built a branded 'CDW AI Model Managed Services' product on AFFIRM) and Carahsoft federal contract vehicles (Army ITES-SW2, GSA MAS, NASA SEWP, DoE ICPT). Synergist raised a SAFE I seed round ($5M per press) and is raising a SAFE II. The current LLC entity structure is an NWAi hard stop — C-Corp conversion required before any investment can close.</w:t>
            </w:r>
          </w:p>
        </w:tc>
      </w:tr>
      <w:tr w:rsidR="003A2DE4" w14:paraId="75E5D24B" w14:textId="77777777">
        <w:tblPrEx>
          <w:tblCellMar>
            <w:top w:w="0" w:type="dxa"/>
            <w:bottom w:w="0" w:type="dxa"/>
          </w:tblCellMar>
        </w:tblPrEx>
        <w:tc>
          <w:tcPr>
            <w:tcW w:w="1360" w:type="dxa"/>
            <w:shd w:val="clear" w:color="auto" w:fill="F4F4F4"/>
            <w:tcMar>
              <w:top w:w="80" w:type="dxa"/>
              <w:left w:w="120" w:type="dxa"/>
              <w:bottom w:w="80" w:type="dxa"/>
              <w:right w:w="120" w:type="dxa"/>
            </w:tcMar>
          </w:tcPr>
          <w:p w14:paraId="5879DF3B" w14:textId="77777777" w:rsidR="003A2DE4" w:rsidRDefault="00000000">
            <w:pPr>
              <w:spacing w:before="60" w:after="60"/>
            </w:pPr>
            <w:r>
              <w:rPr>
                <w:rFonts w:ascii="Arial" w:eastAsia="Arial" w:hAnsi="Arial" w:cs="Arial"/>
                <w:b/>
                <w:bCs/>
                <w:color w:val="000000"/>
                <w:sz w:val="22"/>
                <w:szCs w:val="22"/>
              </w:rPr>
              <w:t>Platform</w:t>
            </w:r>
          </w:p>
        </w:tc>
        <w:tc>
          <w:tcPr>
            <w:tcW w:w="3320" w:type="dxa"/>
            <w:shd w:val="clear" w:color="auto" w:fill="FFFFFF"/>
            <w:tcMar>
              <w:top w:w="80" w:type="dxa"/>
              <w:left w:w="120" w:type="dxa"/>
              <w:bottom w:w="80" w:type="dxa"/>
              <w:right w:w="120" w:type="dxa"/>
            </w:tcMar>
          </w:tcPr>
          <w:p w14:paraId="5675C08F" w14:textId="77777777" w:rsidR="003A2DE4" w:rsidRDefault="00000000">
            <w:pPr>
              <w:spacing w:before="60" w:after="60"/>
            </w:pPr>
            <w:r>
              <w:rPr>
                <w:rFonts w:ascii="Arial" w:eastAsia="Arial" w:hAnsi="Arial" w:cs="Arial"/>
                <w:color w:val="000000"/>
                <w:sz w:val="22"/>
                <w:szCs w:val="22"/>
              </w:rPr>
              <w:t>AFFIRM — AI-powered AIOps + AI governance platform (monitoring, anomaly detection, policy enforcement, audit reporting)</w:t>
            </w:r>
          </w:p>
        </w:tc>
        <w:tc>
          <w:tcPr>
            <w:tcW w:w="1360" w:type="dxa"/>
            <w:shd w:val="clear" w:color="auto" w:fill="F4F4F4"/>
            <w:tcMar>
              <w:top w:w="80" w:type="dxa"/>
              <w:left w:w="120" w:type="dxa"/>
              <w:bottom w:w="80" w:type="dxa"/>
              <w:right w:w="120" w:type="dxa"/>
            </w:tcMar>
          </w:tcPr>
          <w:p w14:paraId="7E691DE3" w14:textId="77777777" w:rsidR="003A2DE4" w:rsidRDefault="00000000">
            <w:pPr>
              <w:spacing w:before="60" w:after="60"/>
            </w:pPr>
            <w:r>
              <w:rPr>
                <w:rFonts w:ascii="Arial" w:eastAsia="Arial" w:hAnsi="Arial" w:cs="Arial"/>
                <w:b/>
                <w:bCs/>
                <w:color w:val="000000"/>
                <w:sz w:val="22"/>
                <w:szCs w:val="22"/>
              </w:rPr>
              <w:t>Stage</w:t>
            </w:r>
          </w:p>
        </w:tc>
        <w:tc>
          <w:tcPr>
            <w:tcW w:w="3320" w:type="dxa"/>
            <w:shd w:val="clear" w:color="auto" w:fill="FFFFFF"/>
            <w:tcMar>
              <w:top w:w="80" w:type="dxa"/>
              <w:left w:w="120" w:type="dxa"/>
              <w:bottom w:w="80" w:type="dxa"/>
              <w:right w:w="120" w:type="dxa"/>
            </w:tcMar>
          </w:tcPr>
          <w:p w14:paraId="21AC9BE8" w14:textId="77777777" w:rsidR="003A2DE4" w:rsidRDefault="00000000">
            <w:pPr>
              <w:spacing w:before="60" w:after="60"/>
            </w:pPr>
            <w:r>
              <w:rPr>
                <w:rFonts w:ascii="Arial" w:eastAsia="Arial" w:hAnsi="Arial" w:cs="Arial"/>
                <w:color w:val="000000"/>
                <w:sz w:val="22"/>
                <w:szCs w:val="22"/>
              </w:rPr>
              <w:t>Pre-Series A | 5 paying Q1 2026 customers | CDW channel active</w:t>
            </w:r>
          </w:p>
        </w:tc>
      </w:tr>
      <w:tr w:rsidR="003A2DE4" w14:paraId="286BAE33" w14:textId="77777777">
        <w:tblPrEx>
          <w:tblCellMar>
            <w:top w:w="0" w:type="dxa"/>
            <w:bottom w:w="0" w:type="dxa"/>
          </w:tblCellMar>
        </w:tblPrEx>
        <w:tc>
          <w:tcPr>
            <w:tcW w:w="1360" w:type="dxa"/>
            <w:shd w:val="clear" w:color="auto" w:fill="F4F4F4"/>
            <w:tcMar>
              <w:top w:w="80" w:type="dxa"/>
              <w:left w:w="120" w:type="dxa"/>
              <w:bottom w:w="80" w:type="dxa"/>
              <w:right w:w="120" w:type="dxa"/>
            </w:tcMar>
          </w:tcPr>
          <w:p w14:paraId="0CC17E3C" w14:textId="77777777" w:rsidR="003A2DE4" w:rsidRDefault="00000000">
            <w:pPr>
              <w:spacing w:before="60" w:after="60"/>
            </w:pPr>
            <w:r>
              <w:rPr>
                <w:rFonts w:ascii="Arial" w:eastAsia="Arial" w:hAnsi="Arial" w:cs="Arial"/>
                <w:b/>
                <w:bCs/>
                <w:color w:val="000000"/>
                <w:sz w:val="22"/>
                <w:szCs w:val="22"/>
              </w:rPr>
              <w:t>HQ</w:t>
            </w:r>
          </w:p>
        </w:tc>
        <w:tc>
          <w:tcPr>
            <w:tcW w:w="3320" w:type="dxa"/>
            <w:shd w:val="clear" w:color="auto" w:fill="FFFFFF"/>
            <w:tcMar>
              <w:top w:w="80" w:type="dxa"/>
              <w:left w:w="120" w:type="dxa"/>
              <w:bottom w:w="80" w:type="dxa"/>
              <w:right w:w="120" w:type="dxa"/>
            </w:tcMar>
          </w:tcPr>
          <w:p w14:paraId="7614885A" w14:textId="77777777" w:rsidR="003A2DE4" w:rsidRDefault="00000000">
            <w:pPr>
              <w:spacing w:before="60" w:after="60"/>
            </w:pPr>
            <w:r>
              <w:rPr>
                <w:rFonts w:ascii="Arial" w:eastAsia="Arial" w:hAnsi="Arial" w:cs="Arial"/>
                <w:color w:val="000000"/>
                <w:sz w:val="22"/>
                <w:szCs w:val="22"/>
              </w:rPr>
              <w:t>US-based (Florida)</w:t>
            </w:r>
          </w:p>
        </w:tc>
        <w:tc>
          <w:tcPr>
            <w:tcW w:w="1360" w:type="dxa"/>
            <w:shd w:val="clear" w:color="auto" w:fill="F4F4F4"/>
            <w:tcMar>
              <w:top w:w="80" w:type="dxa"/>
              <w:left w:w="120" w:type="dxa"/>
              <w:bottom w:w="80" w:type="dxa"/>
              <w:right w:w="120" w:type="dxa"/>
            </w:tcMar>
          </w:tcPr>
          <w:p w14:paraId="0CBFEC9E" w14:textId="77777777" w:rsidR="003A2DE4" w:rsidRDefault="00000000">
            <w:pPr>
              <w:spacing w:before="60" w:after="60"/>
            </w:pPr>
            <w:r>
              <w:rPr>
                <w:rFonts w:ascii="Arial" w:eastAsia="Arial" w:hAnsi="Arial" w:cs="Arial"/>
                <w:b/>
                <w:bCs/>
                <w:color w:val="000000"/>
                <w:sz w:val="22"/>
                <w:szCs w:val="22"/>
              </w:rPr>
              <w:t>Round</w:t>
            </w:r>
          </w:p>
        </w:tc>
        <w:tc>
          <w:tcPr>
            <w:tcW w:w="3320" w:type="dxa"/>
            <w:shd w:val="clear" w:color="auto" w:fill="FFFFFF"/>
            <w:tcMar>
              <w:top w:w="80" w:type="dxa"/>
              <w:left w:w="120" w:type="dxa"/>
              <w:bottom w:w="80" w:type="dxa"/>
              <w:right w:w="120" w:type="dxa"/>
            </w:tcMar>
          </w:tcPr>
          <w:p w14:paraId="39E52FE8" w14:textId="77777777" w:rsidR="003A2DE4" w:rsidRDefault="00000000">
            <w:pPr>
              <w:spacing w:before="60" w:after="60"/>
            </w:pPr>
            <w:r>
              <w:rPr>
                <w:rFonts w:ascii="Arial" w:eastAsia="Arial" w:hAnsi="Arial" w:cs="Arial"/>
                <w:color w:val="000000"/>
                <w:sz w:val="22"/>
                <w:szCs w:val="22"/>
              </w:rPr>
              <w:t>SAFE II → must convert to convertible note or priced equity (NWAi requirement)</w:t>
            </w:r>
          </w:p>
        </w:tc>
      </w:tr>
      <w:tr w:rsidR="003A2DE4" w14:paraId="199F815B" w14:textId="77777777">
        <w:tblPrEx>
          <w:tblCellMar>
            <w:top w:w="0" w:type="dxa"/>
            <w:bottom w:w="0" w:type="dxa"/>
          </w:tblCellMar>
        </w:tblPrEx>
        <w:tc>
          <w:tcPr>
            <w:tcW w:w="1360" w:type="dxa"/>
            <w:shd w:val="clear" w:color="auto" w:fill="F4F4F4"/>
            <w:tcMar>
              <w:top w:w="80" w:type="dxa"/>
              <w:left w:w="120" w:type="dxa"/>
              <w:bottom w:w="80" w:type="dxa"/>
              <w:right w:w="120" w:type="dxa"/>
            </w:tcMar>
          </w:tcPr>
          <w:p w14:paraId="4606A8FA" w14:textId="77777777" w:rsidR="003A2DE4" w:rsidRDefault="00000000">
            <w:pPr>
              <w:spacing w:before="60" w:after="60"/>
            </w:pPr>
            <w:r>
              <w:rPr>
                <w:rFonts w:ascii="Arial" w:eastAsia="Arial" w:hAnsi="Arial" w:cs="Arial"/>
                <w:b/>
                <w:bCs/>
                <w:color w:val="000000"/>
                <w:sz w:val="22"/>
                <w:szCs w:val="22"/>
              </w:rPr>
              <w:t>CEO</w:t>
            </w:r>
          </w:p>
        </w:tc>
        <w:tc>
          <w:tcPr>
            <w:tcW w:w="3320" w:type="dxa"/>
            <w:shd w:val="clear" w:color="auto" w:fill="FFFFFF"/>
            <w:tcMar>
              <w:top w:w="80" w:type="dxa"/>
              <w:left w:w="120" w:type="dxa"/>
              <w:bottom w:w="80" w:type="dxa"/>
              <w:right w:w="120" w:type="dxa"/>
            </w:tcMar>
          </w:tcPr>
          <w:p w14:paraId="088D5F7B" w14:textId="77777777" w:rsidR="003A2DE4" w:rsidRDefault="00000000">
            <w:pPr>
              <w:spacing w:before="60" w:after="60"/>
            </w:pPr>
            <w:r>
              <w:rPr>
                <w:rFonts w:ascii="Arial" w:eastAsia="Arial" w:hAnsi="Arial" w:cs="Arial"/>
                <w:color w:val="000000"/>
                <w:sz w:val="22"/>
                <w:szCs w:val="22"/>
              </w:rPr>
              <w:t>Brad Levine</w:t>
            </w:r>
          </w:p>
        </w:tc>
        <w:tc>
          <w:tcPr>
            <w:tcW w:w="1360" w:type="dxa"/>
            <w:shd w:val="clear" w:color="auto" w:fill="F4F4F4"/>
            <w:tcMar>
              <w:top w:w="80" w:type="dxa"/>
              <w:left w:w="120" w:type="dxa"/>
              <w:bottom w:w="80" w:type="dxa"/>
              <w:right w:w="120" w:type="dxa"/>
            </w:tcMar>
          </w:tcPr>
          <w:p w14:paraId="3294B14D" w14:textId="77777777" w:rsidR="003A2DE4" w:rsidRDefault="00000000">
            <w:pPr>
              <w:spacing w:before="60" w:after="60"/>
            </w:pPr>
            <w:r>
              <w:rPr>
                <w:rFonts w:ascii="Arial" w:eastAsia="Arial" w:hAnsi="Arial" w:cs="Arial"/>
                <w:b/>
                <w:bCs/>
                <w:color w:val="000000"/>
                <w:sz w:val="22"/>
                <w:szCs w:val="22"/>
              </w:rPr>
              <w:t>Raise</w:t>
            </w:r>
          </w:p>
        </w:tc>
        <w:tc>
          <w:tcPr>
            <w:tcW w:w="3320" w:type="dxa"/>
            <w:shd w:val="clear" w:color="auto" w:fill="FFFFFF"/>
            <w:tcMar>
              <w:top w:w="80" w:type="dxa"/>
              <w:left w:w="120" w:type="dxa"/>
              <w:bottom w:w="80" w:type="dxa"/>
              <w:right w:w="120" w:type="dxa"/>
            </w:tcMar>
          </w:tcPr>
          <w:p w14:paraId="0D62929E" w14:textId="77777777" w:rsidR="003A2DE4" w:rsidRDefault="00000000">
            <w:pPr>
              <w:spacing w:before="60" w:after="60"/>
            </w:pPr>
            <w:r>
              <w:rPr>
                <w:rFonts w:ascii="Arial" w:eastAsia="Arial" w:hAnsi="Arial" w:cs="Arial"/>
                <w:color w:val="000000"/>
                <w:sz w:val="22"/>
                <w:szCs w:val="22"/>
              </w:rPr>
              <w:t>$3.5M | $33.5M post-money cap | $3.98 conversion price</w:t>
            </w:r>
          </w:p>
        </w:tc>
      </w:tr>
      <w:tr w:rsidR="003A2DE4" w14:paraId="0484CE51" w14:textId="77777777">
        <w:tblPrEx>
          <w:tblCellMar>
            <w:top w:w="0" w:type="dxa"/>
            <w:bottom w:w="0" w:type="dxa"/>
          </w:tblCellMar>
        </w:tblPrEx>
        <w:tc>
          <w:tcPr>
            <w:tcW w:w="1360" w:type="dxa"/>
            <w:shd w:val="clear" w:color="auto" w:fill="F4F4F4"/>
            <w:tcMar>
              <w:top w:w="80" w:type="dxa"/>
              <w:left w:w="120" w:type="dxa"/>
              <w:bottom w:w="80" w:type="dxa"/>
              <w:right w:w="120" w:type="dxa"/>
            </w:tcMar>
          </w:tcPr>
          <w:p w14:paraId="17323E40" w14:textId="77777777" w:rsidR="003A2DE4" w:rsidRDefault="00000000">
            <w:pPr>
              <w:spacing w:before="60" w:after="60"/>
            </w:pPr>
            <w:r>
              <w:rPr>
                <w:rFonts w:ascii="Arial" w:eastAsia="Arial" w:hAnsi="Arial" w:cs="Arial"/>
                <w:b/>
                <w:bCs/>
                <w:color w:val="000000"/>
                <w:sz w:val="22"/>
                <w:szCs w:val="22"/>
              </w:rPr>
              <w:t>Founded</w:t>
            </w:r>
          </w:p>
        </w:tc>
        <w:tc>
          <w:tcPr>
            <w:tcW w:w="3320" w:type="dxa"/>
            <w:shd w:val="clear" w:color="auto" w:fill="FFFFFF"/>
            <w:tcMar>
              <w:top w:w="80" w:type="dxa"/>
              <w:left w:w="120" w:type="dxa"/>
              <w:bottom w:w="80" w:type="dxa"/>
              <w:right w:w="120" w:type="dxa"/>
            </w:tcMar>
          </w:tcPr>
          <w:p w14:paraId="7D8AEDF2" w14:textId="77777777" w:rsidR="003A2DE4" w:rsidRDefault="00000000">
            <w:pPr>
              <w:spacing w:before="60" w:after="60"/>
            </w:pPr>
            <w:r>
              <w:rPr>
                <w:rFonts w:ascii="Arial" w:eastAsia="Arial" w:hAnsi="Arial" w:cs="Arial"/>
                <w:color w:val="000000"/>
                <w:sz w:val="22"/>
                <w:szCs w:val="22"/>
              </w:rPr>
              <w:t>April 2024</w:t>
            </w:r>
          </w:p>
        </w:tc>
        <w:tc>
          <w:tcPr>
            <w:tcW w:w="1360" w:type="dxa"/>
            <w:shd w:val="clear" w:color="auto" w:fill="F4F4F4"/>
            <w:tcMar>
              <w:top w:w="80" w:type="dxa"/>
              <w:left w:w="120" w:type="dxa"/>
              <w:bottom w:w="80" w:type="dxa"/>
              <w:right w:w="120" w:type="dxa"/>
            </w:tcMar>
          </w:tcPr>
          <w:p w14:paraId="55D74ECE" w14:textId="77777777" w:rsidR="003A2DE4" w:rsidRDefault="00000000">
            <w:pPr>
              <w:spacing w:before="60" w:after="60"/>
            </w:pPr>
            <w:r>
              <w:rPr>
                <w:rFonts w:ascii="Arial" w:eastAsia="Arial" w:hAnsi="Arial" w:cs="Arial"/>
                <w:b/>
                <w:bCs/>
                <w:color w:val="000000"/>
                <w:sz w:val="22"/>
                <w:szCs w:val="22"/>
              </w:rPr>
              <w:t>NWAi Check Size</w:t>
            </w:r>
          </w:p>
        </w:tc>
        <w:tc>
          <w:tcPr>
            <w:tcW w:w="3320" w:type="dxa"/>
            <w:shd w:val="clear" w:color="auto" w:fill="FFFFFF"/>
            <w:tcMar>
              <w:top w:w="80" w:type="dxa"/>
              <w:left w:w="120" w:type="dxa"/>
              <w:bottom w:w="80" w:type="dxa"/>
              <w:right w:w="120" w:type="dxa"/>
            </w:tcMar>
          </w:tcPr>
          <w:p w14:paraId="3FF71246" w14:textId="77777777" w:rsidR="003A2DE4" w:rsidRDefault="00000000">
            <w:pPr>
              <w:spacing w:before="60" w:after="60"/>
            </w:pPr>
            <w:r>
              <w:rPr>
                <w:rFonts w:ascii="Arial" w:eastAsia="Arial" w:hAnsi="Arial" w:cs="Arial"/>
                <w:color w:val="000000"/>
                <w:sz w:val="22"/>
                <w:szCs w:val="22"/>
              </w:rPr>
              <w:t>[TO BE CONFIRMED — pending round restructure]</w:t>
            </w:r>
          </w:p>
        </w:tc>
      </w:tr>
    </w:tbl>
    <w:p w14:paraId="75EBA674" w14:textId="77777777" w:rsidR="003A2DE4" w:rsidRDefault="003A2DE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gridCol w:w="860"/>
      </w:tblGrid>
      <w:tr w:rsidR="003A2DE4" w14:paraId="7D9E22BF" w14:textId="77777777">
        <w:tblPrEx>
          <w:tblCellMar>
            <w:top w:w="0" w:type="dxa"/>
            <w:bottom w:w="0" w:type="dxa"/>
          </w:tblCellMar>
        </w:tblPrEx>
        <w:tc>
          <w:tcPr>
            <w:tcW w:w="8500" w:type="dxa"/>
            <w:shd w:val="clear" w:color="auto" w:fill="1F3864"/>
            <w:tcMar>
              <w:top w:w="80" w:type="dxa"/>
              <w:left w:w="120" w:type="dxa"/>
              <w:bottom w:w="80" w:type="dxa"/>
              <w:right w:w="120" w:type="dxa"/>
            </w:tcMar>
          </w:tcPr>
          <w:p w14:paraId="6C5DB6B6" w14:textId="77777777" w:rsidR="003A2DE4" w:rsidRDefault="00000000">
            <w:pPr>
              <w:spacing w:before="60" w:after="60"/>
            </w:pPr>
            <w:r>
              <w:rPr>
                <w:rFonts w:ascii="Arial" w:eastAsia="Arial" w:hAnsi="Arial" w:cs="Arial"/>
                <w:b/>
                <w:bCs/>
                <w:color w:val="FFFFFF"/>
                <w:sz w:val="22"/>
                <w:szCs w:val="22"/>
              </w:rPr>
              <w:t>1.  THE PROBLEM / MARKET OPPORTUNITY</w:t>
            </w:r>
          </w:p>
        </w:tc>
        <w:tc>
          <w:tcPr>
            <w:tcW w:w="860" w:type="dxa"/>
            <w:shd w:val="clear" w:color="auto" w:fill="1F3864"/>
            <w:tcMar>
              <w:top w:w="80" w:type="dxa"/>
              <w:left w:w="120" w:type="dxa"/>
              <w:bottom w:w="80" w:type="dxa"/>
              <w:right w:w="120" w:type="dxa"/>
            </w:tcMar>
          </w:tcPr>
          <w:p w14:paraId="623746A5" w14:textId="77777777" w:rsidR="003A2DE4" w:rsidRDefault="00000000">
            <w:pPr>
              <w:spacing w:before="60" w:after="60"/>
            </w:pPr>
            <w:r>
              <w:rPr>
                <w:rFonts w:ascii="Arial" w:eastAsia="Arial" w:hAnsi="Arial" w:cs="Arial"/>
                <w:b/>
                <w:bCs/>
                <w:color w:val="FFFFFF"/>
                <w:sz w:val="22"/>
                <w:szCs w:val="22"/>
              </w:rPr>
              <w:t>Score</w:t>
            </w:r>
          </w:p>
        </w:tc>
      </w:tr>
      <w:tr w:rsidR="003A2DE4" w14:paraId="1FA579FF" w14:textId="77777777">
        <w:tblPrEx>
          <w:tblCellMar>
            <w:top w:w="0" w:type="dxa"/>
            <w:bottom w:w="0" w:type="dxa"/>
          </w:tblCellMar>
        </w:tblPrEx>
        <w:tc>
          <w:tcPr>
            <w:tcW w:w="8500" w:type="dxa"/>
            <w:shd w:val="clear" w:color="auto" w:fill="FFFFFF"/>
            <w:tcMar>
              <w:top w:w="100" w:type="dxa"/>
              <w:left w:w="140" w:type="dxa"/>
              <w:bottom w:w="100" w:type="dxa"/>
              <w:right w:w="100" w:type="dxa"/>
            </w:tcMar>
          </w:tcPr>
          <w:p w14:paraId="36A7EE6D" w14:textId="77777777" w:rsidR="003A2DE4" w:rsidRDefault="00000000">
            <w:pPr>
              <w:spacing w:before="60" w:after="60"/>
            </w:pPr>
            <w:r>
              <w:rPr>
                <w:rFonts w:ascii="Arial" w:eastAsia="Arial" w:hAnsi="Arial" w:cs="Arial"/>
                <w:color w:val="000000"/>
                <w:sz w:val="22"/>
                <w:szCs w:val="22"/>
              </w:rPr>
              <w:t>Market: Gartner validates $492M AI governance market (2026) growing to $1B+ by 2030 at &gt;20% CAGR. Bottoms-up SAM (US federal IT ops + enterprise): ~$1B — consistent with founder TAM, no inflation flag. Market is driven by regulatory mandate (NIST AI RMF, EU AI Act, OMB 25-21), not discretionary spend.</w:t>
            </w:r>
          </w:p>
          <w:p w14:paraId="63729ACC" w14:textId="77777777" w:rsidR="003A2DE4" w:rsidRDefault="00000000">
            <w:pPr>
              <w:spacing w:before="60" w:after="60"/>
            </w:pPr>
            <w:r>
              <w:rPr>
                <w:rFonts w:ascii="Arial" w:eastAsia="Arial" w:hAnsi="Arial" w:cs="Arial"/>
                <w:color w:val="000000"/>
                <w:sz w:val="22"/>
                <w:szCs w:val="22"/>
              </w:rPr>
              <w:lastRenderedPageBreak/>
              <w:t>Timing Score: 5/5 — All five triggers present: AI adoption wave (75% enterprise), federal IT modernization mandates, FedRAMP compliance requirements opening a defined procurement path, ServiceNow ecosystem maturity as distribution layer, and cost reduction pressure on IT ops teams. This is a must-buy compliance category forming in 2026.</w:t>
            </w:r>
          </w:p>
          <w:p w14:paraId="3EA95DB9" w14:textId="77777777" w:rsidR="003A2DE4" w:rsidRDefault="00000000">
            <w:pPr>
              <w:spacing w:before="60" w:after="60"/>
            </w:pPr>
            <w:r>
              <w:rPr>
                <w:rFonts w:ascii="Arial" w:eastAsia="Arial" w:hAnsi="Arial" w:cs="Arial"/>
                <w:color w:val="000000"/>
                <w:sz w:val="22"/>
                <w:szCs w:val="22"/>
              </w:rPr>
              <w:t>Pain: Federal agencies and enterprise IT teams lack audit-ready, automated AI governance tooling as mandatory compliance deadlines hit. Every enterprise deploying AI will require audit-grade evidence of compliance — making AFFIRM a must-buy, not a nice-to-have.</w:t>
            </w:r>
          </w:p>
        </w:tc>
        <w:tc>
          <w:tcPr>
            <w:tcW w:w="860" w:type="dxa"/>
            <w:shd w:val="clear" w:color="auto" w:fill="375623"/>
            <w:tcMar>
              <w:top w:w="100" w:type="dxa"/>
              <w:left w:w="80" w:type="dxa"/>
              <w:bottom w:w="100" w:type="dxa"/>
              <w:right w:w="80" w:type="dxa"/>
            </w:tcMar>
            <w:vAlign w:val="center"/>
          </w:tcPr>
          <w:p w14:paraId="027D6557" w14:textId="77777777" w:rsidR="003A2DE4" w:rsidRDefault="00000000">
            <w:pPr>
              <w:spacing w:before="60" w:after="60"/>
              <w:jc w:val="center"/>
            </w:pPr>
            <w:r>
              <w:rPr>
                <w:rFonts w:ascii="Arial" w:eastAsia="Arial" w:hAnsi="Arial" w:cs="Arial"/>
                <w:b/>
                <w:bCs/>
                <w:color w:val="FFFFFF"/>
                <w:sz w:val="32"/>
                <w:szCs w:val="32"/>
              </w:rPr>
              <w:lastRenderedPageBreak/>
              <w:t>5</w:t>
            </w:r>
          </w:p>
        </w:tc>
      </w:tr>
    </w:tbl>
    <w:p w14:paraId="2A45F8BE" w14:textId="77777777" w:rsidR="003A2DE4" w:rsidRDefault="003A2DE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gridCol w:w="860"/>
      </w:tblGrid>
      <w:tr w:rsidR="003A2DE4" w14:paraId="272460F3" w14:textId="77777777">
        <w:tblPrEx>
          <w:tblCellMar>
            <w:top w:w="0" w:type="dxa"/>
            <w:bottom w:w="0" w:type="dxa"/>
          </w:tblCellMar>
        </w:tblPrEx>
        <w:tc>
          <w:tcPr>
            <w:tcW w:w="8500" w:type="dxa"/>
            <w:shd w:val="clear" w:color="auto" w:fill="1F3864"/>
            <w:tcMar>
              <w:top w:w="80" w:type="dxa"/>
              <w:left w:w="120" w:type="dxa"/>
              <w:bottom w:w="80" w:type="dxa"/>
              <w:right w:w="120" w:type="dxa"/>
            </w:tcMar>
          </w:tcPr>
          <w:p w14:paraId="596457FB" w14:textId="77777777" w:rsidR="003A2DE4" w:rsidRDefault="00000000">
            <w:pPr>
              <w:spacing w:before="60" w:after="60"/>
            </w:pPr>
            <w:r>
              <w:rPr>
                <w:rFonts w:ascii="Arial" w:eastAsia="Arial" w:hAnsi="Arial" w:cs="Arial"/>
                <w:b/>
                <w:bCs/>
                <w:color w:val="FFFFFF"/>
                <w:sz w:val="22"/>
                <w:szCs w:val="22"/>
              </w:rPr>
              <w:t>2.  THE SOLUTION / PRODUCT</w:t>
            </w:r>
          </w:p>
        </w:tc>
        <w:tc>
          <w:tcPr>
            <w:tcW w:w="860" w:type="dxa"/>
            <w:shd w:val="clear" w:color="auto" w:fill="1F3864"/>
            <w:tcMar>
              <w:top w:w="80" w:type="dxa"/>
              <w:left w:w="120" w:type="dxa"/>
              <w:bottom w:w="80" w:type="dxa"/>
              <w:right w:w="120" w:type="dxa"/>
            </w:tcMar>
          </w:tcPr>
          <w:p w14:paraId="7990128B" w14:textId="77777777" w:rsidR="003A2DE4" w:rsidRDefault="00000000">
            <w:pPr>
              <w:spacing w:before="60" w:after="60"/>
            </w:pPr>
            <w:r>
              <w:rPr>
                <w:rFonts w:ascii="Arial" w:eastAsia="Arial" w:hAnsi="Arial" w:cs="Arial"/>
                <w:b/>
                <w:bCs/>
                <w:color w:val="FFFFFF"/>
                <w:sz w:val="22"/>
                <w:szCs w:val="22"/>
              </w:rPr>
              <w:t>Score</w:t>
            </w:r>
          </w:p>
        </w:tc>
      </w:tr>
      <w:tr w:rsidR="003A2DE4" w14:paraId="22DCA328" w14:textId="77777777">
        <w:tblPrEx>
          <w:tblCellMar>
            <w:top w:w="0" w:type="dxa"/>
            <w:bottom w:w="0" w:type="dxa"/>
          </w:tblCellMar>
        </w:tblPrEx>
        <w:tc>
          <w:tcPr>
            <w:tcW w:w="8500" w:type="dxa"/>
            <w:shd w:val="clear" w:color="auto" w:fill="FFFFFF"/>
            <w:tcMar>
              <w:top w:w="100" w:type="dxa"/>
              <w:left w:w="140" w:type="dxa"/>
              <w:bottom w:w="100" w:type="dxa"/>
              <w:right w:w="100" w:type="dxa"/>
            </w:tcMar>
          </w:tcPr>
          <w:p w14:paraId="39A806E5" w14:textId="77777777" w:rsidR="003A2DE4" w:rsidRDefault="00000000">
            <w:pPr>
              <w:spacing w:before="60" w:after="60"/>
            </w:pPr>
            <w:r>
              <w:rPr>
                <w:rFonts w:ascii="Arial" w:eastAsia="Arial" w:hAnsi="Arial" w:cs="Arial"/>
                <w:color w:val="000000"/>
                <w:sz w:val="22"/>
                <w:szCs w:val="22"/>
              </w:rPr>
              <w:t>AFFIRM v1.0 is in production at TRL 7–8: deployed at Tampa General Hospital (5→73 AI assets in 3 weeks), CDW PoC live, Carahsoft federal contracts active. CDW has built a branded product on AFFIRM — strong independent validation. Core capabilities: continuous AI health monitoring, anomaly detection, drift analysis, policy enforcement, automated audit reporting.</w:t>
            </w:r>
          </w:p>
          <w:p w14:paraId="7E1D5701" w14:textId="77777777" w:rsidR="003A2DE4" w:rsidRDefault="00000000">
            <w:pPr>
              <w:spacing w:before="60" w:after="60"/>
            </w:pPr>
            <w:r>
              <w:rPr>
                <w:rFonts w:ascii="Arial" w:eastAsia="Arial" w:hAnsi="Arial" w:cs="Arial"/>
                <w:color w:val="000000"/>
                <w:sz w:val="22"/>
                <w:szCs w:val="22"/>
              </w:rPr>
              <w:t>IP:  No patents filed or pending. Core evaluator methods (LLMaJ, TFIDF, TokenOverlap) are open-source. True proprietary elements: normalization engine + GRC framework mapping layer + MSP workflow toolkit via ServiceNow. IP ownership confirmation and formal C-Corp assignment of IP on conversion required.</w:t>
            </w:r>
          </w:p>
          <w:p w14:paraId="469FBD12" w14:textId="77777777" w:rsidR="003A2DE4" w:rsidRDefault="00000000">
            <w:pPr>
              <w:spacing w:before="60" w:after="60"/>
            </w:pPr>
            <w:r>
              <w:rPr>
                <w:rFonts w:ascii="Arial" w:eastAsia="Arial" w:hAnsi="Arial" w:cs="Arial"/>
                <w:color w:val="000000"/>
                <w:sz w:val="22"/>
                <w:szCs w:val="22"/>
              </w:rPr>
              <w:t>Moat Tier 1: 3/6 (Weak-to-Moderate)  |  Present: switching costs ✓ | regulatory barriers (FedRAMP via Project Hosts) ✓ | vertical specialization ✓.  Absent: network effects ✗ | proprietary data ✗ | patents ✗.  Key risk: well-funded competitor could replicate normalization + MSP workflow layer in 12–18 months with equivalent distribution.</w:t>
            </w:r>
          </w:p>
        </w:tc>
        <w:tc>
          <w:tcPr>
            <w:tcW w:w="860" w:type="dxa"/>
            <w:shd w:val="clear" w:color="auto" w:fill="FFC000"/>
            <w:tcMar>
              <w:top w:w="100" w:type="dxa"/>
              <w:left w:w="80" w:type="dxa"/>
              <w:bottom w:w="100" w:type="dxa"/>
              <w:right w:w="80" w:type="dxa"/>
            </w:tcMar>
            <w:vAlign w:val="center"/>
          </w:tcPr>
          <w:p w14:paraId="7925312E" w14:textId="77777777" w:rsidR="003A2DE4" w:rsidRDefault="00000000">
            <w:pPr>
              <w:spacing w:before="60" w:after="60"/>
              <w:jc w:val="center"/>
            </w:pPr>
            <w:r>
              <w:rPr>
                <w:rFonts w:ascii="Arial" w:eastAsia="Arial" w:hAnsi="Arial" w:cs="Arial"/>
                <w:b/>
                <w:bCs/>
                <w:color w:val="000000"/>
                <w:sz w:val="32"/>
                <w:szCs w:val="32"/>
              </w:rPr>
              <w:t>3</w:t>
            </w:r>
          </w:p>
        </w:tc>
      </w:tr>
    </w:tbl>
    <w:p w14:paraId="056BE929" w14:textId="77777777" w:rsidR="003A2DE4" w:rsidRDefault="003A2DE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gridCol w:w="860"/>
      </w:tblGrid>
      <w:tr w:rsidR="003A2DE4" w14:paraId="6A90F90B" w14:textId="77777777">
        <w:tblPrEx>
          <w:tblCellMar>
            <w:top w:w="0" w:type="dxa"/>
            <w:bottom w:w="0" w:type="dxa"/>
          </w:tblCellMar>
        </w:tblPrEx>
        <w:tc>
          <w:tcPr>
            <w:tcW w:w="8500" w:type="dxa"/>
            <w:shd w:val="clear" w:color="auto" w:fill="1F3864"/>
            <w:tcMar>
              <w:top w:w="80" w:type="dxa"/>
              <w:left w:w="120" w:type="dxa"/>
              <w:bottom w:w="80" w:type="dxa"/>
              <w:right w:w="120" w:type="dxa"/>
            </w:tcMar>
          </w:tcPr>
          <w:p w14:paraId="17DC8324" w14:textId="77777777" w:rsidR="003A2DE4" w:rsidRDefault="00000000">
            <w:pPr>
              <w:spacing w:before="60" w:after="60"/>
            </w:pPr>
            <w:r>
              <w:rPr>
                <w:rFonts w:ascii="Arial" w:eastAsia="Arial" w:hAnsi="Arial" w:cs="Arial"/>
                <w:b/>
                <w:bCs/>
                <w:color w:val="FFFFFF"/>
                <w:sz w:val="22"/>
                <w:szCs w:val="22"/>
              </w:rPr>
              <w:t>3.  AI / SOFTWARE MOAT</w:t>
            </w:r>
          </w:p>
        </w:tc>
        <w:tc>
          <w:tcPr>
            <w:tcW w:w="860" w:type="dxa"/>
            <w:shd w:val="clear" w:color="auto" w:fill="1F3864"/>
            <w:tcMar>
              <w:top w:w="80" w:type="dxa"/>
              <w:left w:w="120" w:type="dxa"/>
              <w:bottom w:w="80" w:type="dxa"/>
              <w:right w:w="120" w:type="dxa"/>
            </w:tcMar>
          </w:tcPr>
          <w:p w14:paraId="019FCD3B" w14:textId="77777777" w:rsidR="003A2DE4" w:rsidRDefault="00000000">
            <w:pPr>
              <w:spacing w:before="60" w:after="60"/>
            </w:pPr>
            <w:r>
              <w:rPr>
                <w:rFonts w:ascii="Arial" w:eastAsia="Arial" w:hAnsi="Arial" w:cs="Arial"/>
                <w:b/>
                <w:bCs/>
                <w:color w:val="FFFFFF"/>
                <w:sz w:val="22"/>
                <w:szCs w:val="22"/>
              </w:rPr>
              <w:t>Score</w:t>
            </w:r>
          </w:p>
        </w:tc>
      </w:tr>
      <w:tr w:rsidR="003A2DE4" w14:paraId="4C89B960" w14:textId="77777777">
        <w:tblPrEx>
          <w:tblCellMar>
            <w:top w:w="0" w:type="dxa"/>
            <w:bottom w:w="0" w:type="dxa"/>
          </w:tblCellMar>
        </w:tblPrEx>
        <w:tc>
          <w:tcPr>
            <w:tcW w:w="8500" w:type="dxa"/>
            <w:shd w:val="clear" w:color="auto" w:fill="FFFFFF"/>
            <w:tcMar>
              <w:top w:w="100" w:type="dxa"/>
              <w:left w:w="140" w:type="dxa"/>
              <w:bottom w:w="100" w:type="dxa"/>
              <w:right w:w="100" w:type="dxa"/>
            </w:tcMar>
          </w:tcPr>
          <w:p w14:paraId="56AF0612" w14:textId="77777777" w:rsidR="003A2DE4" w:rsidRDefault="00000000">
            <w:pPr>
              <w:spacing w:before="60" w:after="60"/>
            </w:pPr>
            <w:r>
              <w:rPr>
                <w:rFonts w:ascii="Arial" w:eastAsia="Arial" w:hAnsi="Arial" w:cs="Arial"/>
                <w:color w:val="000000"/>
                <w:sz w:val="22"/>
                <w:szCs w:val="22"/>
              </w:rPr>
              <w:t>Thin Wrapper Tests: AFFIRM passes all three. Cannot be rebuilt in 48 hours (deep ServiceNow + multi-cloud telemetry integration required). Value derives from workflow integration and accumulating operational data — not prompt engineering. Customer switching in under 1 week is not feasible given accumulated incident history and rule context.</w:t>
            </w:r>
          </w:p>
          <w:p w14:paraId="1388B523" w14:textId="77777777" w:rsidR="003A2DE4" w:rsidRDefault="00000000">
            <w:pPr>
              <w:spacing w:before="60" w:after="60"/>
            </w:pPr>
            <w:r>
              <w:rPr>
                <w:rFonts w:ascii="Arial" w:eastAsia="Arial" w:hAnsi="Arial" w:cs="Arial"/>
                <w:color w:val="000000"/>
                <w:sz w:val="22"/>
                <w:szCs w:val="22"/>
              </w:rPr>
              <w:t>AI Moat Tier 2: 5/10 (Moderate)  |  Points awarded: Inference data moat (1) ✓ | Memory Lock-in (1) ✓ | Deep workflow integration (2) ✓ | Regulatory/compliance layer (1) ✓.  Not awarded: Training data moat (0) ✗ | Custom model training (0) ✗ | Proprietary hardware (0) ✗.</w:t>
            </w:r>
          </w:p>
          <w:p w14:paraId="7E99B5F6" w14:textId="77777777" w:rsidR="003A2DE4" w:rsidRDefault="00000000">
            <w:pPr>
              <w:spacing w:before="60" w:after="60"/>
            </w:pPr>
            <w:r>
              <w:rPr>
                <w:rFonts w:ascii="Arial" w:eastAsia="Arial" w:hAnsi="Arial" w:cs="Arial"/>
                <w:color w:val="000000"/>
                <w:sz w:val="22"/>
                <w:szCs w:val="22"/>
              </w:rPr>
              <w:t>Memory Lock-in is the primary moat seed: customer-specific incident history, anomaly baselines, AI health trend data, and workflow rules accumulate over time and cannot be migrated without meaningful operational loss. Flywheel strengthens as asset count and deployment depth grow — cross-customer training corpus is the highest-leverage moat-building action at Series A.</w:t>
            </w:r>
          </w:p>
        </w:tc>
        <w:tc>
          <w:tcPr>
            <w:tcW w:w="860" w:type="dxa"/>
            <w:shd w:val="clear" w:color="auto" w:fill="FFC000"/>
            <w:tcMar>
              <w:top w:w="100" w:type="dxa"/>
              <w:left w:w="80" w:type="dxa"/>
              <w:bottom w:w="100" w:type="dxa"/>
              <w:right w:w="80" w:type="dxa"/>
            </w:tcMar>
            <w:vAlign w:val="center"/>
          </w:tcPr>
          <w:p w14:paraId="69E68BAF" w14:textId="77777777" w:rsidR="003A2DE4" w:rsidRDefault="00000000">
            <w:pPr>
              <w:spacing w:before="60" w:after="60"/>
              <w:jc w:val="center"/>
            </w:pPr>
            <w:r>
              <w:rPr>
                <w:rFonts w:ascii="Arial" w:eastAsia="Arial" w:hAnsi="Arial" w:cs="Arial"/>
                <w:b/>
                <w:bCs/>
                <w:color w:val="000000"/>
                <w:sz w:val="32"/>
                <w:szCs w:val="32"/>
              </w:rPr>
              <w:t>3</w:t>
            </w:r>
          </w:p>
        </w:tc>
      </w:tr>
    </w:tbl>
    <w:p w14:paraId="5A997AEE" w14:textId="77777777" w:rsidR="003A2DE4" w:rsidRDefault="003A2DE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gridCol w:w="860"/>
      </w:tblGrid>
      <w:tr w:rsidR="003A2DE4" w14:paraId="5F82F51D" w14:textId="77777777">
        <w:tblPrEx>
          <w:tblCellMar>
            <w:top w:w="0" w:type="dxa"/>
            <w:bottom w:w="0" w:type="dxa"/>
          </w:tblCellMar>
        </w:tblPrEx>
        <w:tc>
          <w:tcPr>
            <w:tcW w:w="8500" w:type="dxa"/>
            <w:shd w:val="clear" w:color="auto" w:fill="1F3864"/>
            <w:tcMar>
              <w:top w:w="80" w:type="dxa"/>
              <w:left w:w="120" w:type="dxa"/>
              <w:bottom w:w="80" w:type="dxa"/>
              <w:right w:w="120" w:type="dxa"/>
            </w:tcMar>
          </w:tcPr>
          <w:p w14:paraId="4D0DDB3F" w14:textId="77777777" w:rsidR="003A2DE4" w:rsidRDefault="00000000">
            <w:pPr>
              <w:spacing w:before="60" w:after="60"/>
            </w:pPr>
            <w:r>
              <w:rPr>
                <w:rFonts w:ascii="Arial" w:eastAsia="Arial" w:hAnsi="Arial" w:cs="Arial"/>
                <w:b/>
                <w:bCs/>
                <w:color w:val="FFFFFF"/>
                <w:sz w:val="22"/>
                <w:szCs w:val="22"/>
              </w:rPr>
              <w:t>4.  BUSINESS MODEL &amp; CUSTOMERS</w:t>
            </w:r>
          </w:p>
        </w:tc>
        <w:tc>
          <w:tcPr>
            <w:tcW w:w="860" w:type="dxa"/>
            <w:shd w:val="clear" w:color="auto" w:fill="1F3864"/>
            <w:tcMar>
              <w:top w:w="80" w:type="dxa"/>
              <w:left w:w="120" w:type="dxa"/>
              <w:bottom w:w="80" w:type="dxa"/>
              <w:right w:w="120" w:type="dxa"/>
            </w:tcMar>
          </w:tcPr>
          <w:p w14:paraId="27A0D11C" w14:textId="77777777" w:rsidR="003A2DE4" w:rsidRDefault="00000000">
            <w:pPr>
              <w:spacing w:before="60" w:after="60"/>
            </w:pPr>
            <w:r>
              <w:rPr>
                <w:rFonts w:ascii="Arial" w:eastAsia="Arial" w:hAnsi="Arial" w:cs="Arial"/>
                <w:b/>
                <w:bCs/>
                <w:color w:val="FFFFFF"/>
                <w:sz w:val="22"/>
                <w:szCs w:val="22"/>
              </w:rPr>
              <w:t>Score</w:t>
            </w:r>
          </w:p>
        </w:tc>
      </w:tr>
      <w:tr w:rsidR="003A2DE4" w14:paraId="46BF19A6" w14:textId="77777777">
        <w:tblPrEx>
          <w:tblCellMar>
            <w:top w:w="0" w:type="dxa"/>
            <w:bottom w:w="0" w:type="dxa"/>
          </w:tblCellMar>
        </w:tblPrEx>
        <w:tc>
          <w:tcPr>
            <w:tcW w:w="8500" w:type="dxa"/>
            <w:shd w:val="clear" w:color="auto" w:fill="FFFFFF"/>
            <w:tcMar>
              <w:top w:w="100" w:type="dxa"/>
              <w:left w:w="140" w:type="dxa"/>
              <w:bottom w:w="100" w:type="dxa"/>
              <w:right w:w="100" w:type="dxa"/>
            </w:tcMar>
          </w:tcPr>
          <w:p w14:paraId="3E02407D" w14:textId="77777777" w:rsidR="003A2DE4" w:rsidRDefault="00000000">
            <w:pPr>
              <w:spacing w:before="60" w:after="60"/>
            </w:pPr>
            <w:r>
              <w:rPr>
                <w:rFonts w:ascii="Arial" w:eastAsia="Arial" w:hAnsi="Arial" w:cs="Arial"/>
                <w:color w:val="000000"/>
                <w:sz w:val="22"/>
                <w:szCs w:val="22"/>
              </w:rPr>
              <w:lastRenderedPageBreak/>
              <w:t>Model: Monthly SaaS/PaaS subscription tiered by AI assets monitored. Stated pricing: $7,500–$52,500+/month per customer. CDW channel delivers near-zero CAC — CDW's 400-person salesforce sells into its 10,000-customer base; Synergist earns subscription fees. High gross margin expected for cloud-native SaaS. LTV is structurally high given Memory Lock-in and expanding asset counts.</w:t>
            </w:r>
          </w:p>
          <w:p w14:paraId="7770C4E9" w14:textId="77777777" w:rsidR="003A2DE4" w:rsidRDefault="00000000">
            <w:pPr>
              <w:spacing w:before="60" w:after="60"/>
            </w:pPr>
            <w:r>
              <w:rPr>
                <w:rFonts w:ascii="Arial" w:eastAsia="Arial" w:hAnsi="Arial" w:cs="Arial"/>
                <w:color w:val="000000"/>
                <w:sz w:val="22"/>
                <w:szCs w:val="22"/>
              </w:rPr>
              <w:t>Gaps: (1) Current avg contract value of $4,875/month is below the $7,500 stated floor — discounting policy and repricing path undocumented. (2) LTV:CAC not formally validated — actual CAC not disclosed. (3) CDW contract structure (revenue share vs. licensing vs. per-deployment) not confirmed, blocking independent channel economics modeling.</w:t>
            </w:r>
          </w:p>
          <w:p w14:paraId="3C3F261E" w14:textId="77777777" w:rsidR="003A2DE4" w:rsidRDefault="00000000">
            <w:pPr>
              <w:spacing w:before="60" w:after="60"/>
            </w:pPr>
            <w:r>
              <w:rPr>
                <w:rFonts w:ascii="Arial" w:eastAsia="Arial" w:hAnsi="Arial" w:cs="Arial"/>
                <w:color w:val="000000"/>
                <w:sz w:val="22"/>
                <w:szCs w:val="22"/>
              </w:rPr>
              <w:t>Target segments: federal agencies (Carahsoft path) and large enterprise IT ops teams (CDW path). Business model works in design; pricing and unit economics not yet validated in execution at scale.</w:t>
            </w:r>
          </w:p>
        </w:tc>
        <w:tc>
          <w:tcPr>
            <w:tcW w:w="860" w:type="dxa"/>
            <w:shd w:val="clear" w:color="auto" w:fill="FFC000"/>
            <w:tcMar>
              <w:top w:w="100" w:type="dxa"/>
              <w:left w:w="80" w:type="dxa"/>
              <w:bottom w:w="100" w:type="dxa"/>
              <w:right w:w="80" w:type="dxa"/>
            </w:tcMar>
            <w:vAlign w:val="center"/>
          </w:tcPr>
          <w:p w14:paraId="5DA60FF5" w14:textId="77777777" w:rsidR="003A2DE4" w:rsidRDefault="00000000">
            <w:pPr>
              <w:spacing w:before="60" w:after="60"/>
              <w:jc w:val="center"/>
            </w:pPr>
            <w:r>
              <w:rPr>
                <w:rFonts w:ascii="Arial" w:eastAsia="Arial" w:hAnsi="Arial" w:cs="Arial"/>
                <w:b/>
                <w:bCs/>
                <w:color w:val="000000"/>
                <w:sz w:val="32"/>
                <w:szCs w:val="32"/>
              </w:rPr>
              <w:t>3</w:t>
            </w:r>
          </w:p>
        </w:tc>
      </w:tr>
    </w:tbl>
    <w:p w14:paraId="2C47C182" w14:textId="77777777" w:rsidR="003A2DE4" w:rsidRDefault="003A2DE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gridCol w:w="860"/>
      </w:tblGrid>
      <w:tr w:rsidR="003A2DE4" w14:paraId="6CA72A6B" w14:textId="77777777">
        <w:tblPrEx>
          <w:tblCellMar>
            <w:top w:w="0" w:type="dxa"/>
            <w:bottom w:w="0" w:type="dxa"/>
          </w:tblCellMar>
        </w:tblPrEx>
        <w:tc>
          <w:tcPr>
            <w:tcW w:w="8500" w:type="dxa"/>
            <w:shd w:val="clear" w:color="auto" w:fill="1F3864"/>
            <w:tcMar>
              <w:top w:w="80" w:type="dxa"/>
              <w:left w:w="120" w:type="dxa"/>
              <w:bottom w:w="80" w:type="dxa"/>
              <w:right w:w="120" w:type="dxa"/>
            </w:tcMar>
          </w:tcPr>
          <w:p w14:paraId="57D767A6" w14:textId="77777777" w:rsidR="003A2DE4" w:rsidRDefault="00000000">
            <w:pPr>
              <w:spacing w:before="60" w:after="60"/>
            </w:pPr>
            <w:r>
              <w:rPr>
                <w:rFonts w:ascii="Arial" w:eastAsia="Arial" w:hAnsi="Arial" w:cs="Arial"/>
                <w:b/>
                <w:bCs/>
                <w:color w:val="FFFFFF"/>
                <w:sz w:val="22"/>
                <w:szCs w:val="22"/>
              </w:rPr>
              <w:t>5.  CUSTOMER PIPELINE</w:t>
            </w:r>
          </w:p>
        </w:tc>
        <w:tc>
          <w:tcPr>
            <w:tcW w:w="860" w:type="dxa"/>
            <w:shd w:val="clear" w:color="auto" w:fill="1F3864"/>
            <w:tcMar>
              <w:top w:w="80" w:type="dxa"/>
              <w:left w:w="120" w:type="dxa"/>
              <w:bottom w:w="80" w:type="dxa"/>
              <w:right w:w="120" w:type="dxa"/>
            </w:tcMar>
          </w:tcPr>
          <w:p w14:paraId="7DB039D2" w14:textId="77777777" w:rsidR="003A2DE4" w:rsidRDefault="00000000">
            <w:pPr>
              <w:spacing w:before="60" w:after="60"/>
            </w:pPr>
            <w:r>
              <w:rPr>
                <w:rFonts w:ascii="Arial" w:eastAsia="Arial" w:hAnsi="Arial" w:cs="Arial"/>
                <w:b/>
                <w:bCs/>
                <w:color w:val="FFFFFF"/>
                <w:sz w:val="22"/>
                <w:szCs w:val="22"/>
              </w:rPr>
              <w:t>Score</w:t>
            </w:r>
          </w:p>
        </w:tc>
      </w:tr>
      <w:tr w:rsidR="003A2DE4" w14:paraId="0E1933C5" w14:textId="77777777">
        <w:tblPrEx>
          <w:tblCellMar>
            <w:top w:w="0" w:type="dxa"/>
            <w:bottom w:w="0" w:type="dxa"/>
          </w:tblCellMar>
        </w:tblPrEx>
        <w:tc>
          <w:tcPr>
            <w:tcW w:w="8500" w:type="dxa"/>
            <w:shd w:val="clear" w:color="auto" w:fill="FFFFFF"/>
            <w:tcMar>
              <w:top w:w="100" w:type="dxa"/>
              <w:left w:w="140" w:type="dxa"/>
              <w:bottom w:w="100" w:type="dxa"/>
              <w:right w:w="100" w:type="dxa"/>
            </w:tcMar>
          </w:tcPr>
          <w:p w14:paraId="641331BF" w14:textId="77777777" w:rsidR="003A2DE4" w:rsidRDefault="00000000">
            <w:pPr>
              <w:spacing w:before="60" w:after="60"/>
            </w:pPr>
            <w:r>
              <w:rPr>
                <w:rFonts w:ascii="Arial" w:eastAsia="Arial" w:hAnsi="Arial" w:cs="Arial"/>
                <w:color w:val="000000"/>
                <w:sz w:val="22"/>
                <w:szCs w:val="22"/>
              </w:rPr>
              <w:t>Current customers: 5 paying Q1 2026 at $24,375 gross revenue ($4,875 avg/month — below $7,500 floor). Best signal: Tampa General Hospital expanded from 5–6 AI assets to 73 in three weeks, adding 10–15/quarter — strong expansion and Memory Lock-in validation.</w:t>
            </w:r>
          </w:p>
          <w:p w14:paraId="4F68555C" w14:textId="77777777" w:rsidR="003A2DE4" w:rsidRDefault="00000000">
            <w:pPr>
              <w:spacing w:before="60" w:after="60"/>
            </w:pPr>
            <w:r>
              <w:rPr>
                <w:rFonts w:ascii="Arial" w:eastAsia="Arial" w:hAnsi="Arial" w:cs="Arial"/>
                <w:color w:val="000000"/>
                <w:sz w:val="22"/>
                <w:szCs w:val="22"/>
              </w:rPr>
              <w:t>Pipeline: CDW PoC active (1 end customer onboarded; CDW projects $10–15M in Synergist FY2026 revenue — stated target, not minimum commitment). Carahsoft federal coverage: Army ITES-SW2, GSA MAS, NASA SEWP x2, DoE ICPT via CDWG. Federal pipeline is real.</w:t>
            </w:r>
          </w:p>
          <w:p w14:paraId="709F969E" w14:textId="77777777" w:rsidR="003A2DE4" w:rsidRDefault="00000000">
            <w:pPr>
              <w:spacing w:before="60" w:after="60"/>
            </w:pPr>
            <w:r>
              <w:rPr>
                <w:rFonts w:ascii="Arial" w:eastAsia="Arial" w:hAnsi="Arial" w:cs="Arial"/>
                <w:color w:val="000000"/>
                <w:sz w:val="22"/>
                <w:szCs w:val="22"/>
              </w:rPr>
              <w:t>⚡  Condition: Direct CDW reference call required to confirm pipeline activation timeline, SKU status, and whether any minimum revenue commitment exists. If CDW does not confirm, the 2026 revenue thesis is speculative.</w:t>
            </w:r>
          </w:p>
        </w:tc>
        <w:tc>
          <w:tcPr>
            <w:tcW w:w="860" w:type="dxa"/>
            <w:shd w:val="clear" w:color="auto" w:fill="FFC000"/>
            <w:tcMar>
              <w:top w:w="100" w:type="dxa"/>
              <w:left w:w="80" w:type="dxa"/>
              <w:bottom w:w="100" w:type="dxa"/>
              <w:right w:w="80" w:type="dxa"/>
            </w:tcMar>
            <w:vAlign w:val="center"/>
          </w:tcPr>
          <w:p w14:paraId="35621054" w14:textId="77777777" w:rsidR="003A2DE4" w:rsidRDefault="00000000">
            <w:pPr>
              <w:spacing w:before="60" w:after="60"/>
              <w:jc w:val="center"/>
            </w:pPr>
            <w:r>
              <w:rPr>
                <w:rFonts w:ascii="Arial" w:eastAsia="Arial" w:hAnsi="Arial" w:cs="Arial"/>
                <w:b/>
                <w:bCs/>
                <w:color w:val="000000"/>
                <w:sz w:val="32"/>
                <w:szCs w:val="32"/>
              </w:rPr>
              <w:t>3</w:t>
            </w:r>
          </w:p>
        </w:tc>
      </w:tr>
    </w:tbl>
    <w:p w14:paraId="77E3CA74" w14:textId="77777777" w:rsidR="003A2DE4" w:rsidRDefault="003A2DE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gridCol w:w="860"/>
      </w:tblGrid>
      <w:tr w:rsidR="003A2DE4" w14:paraId="332BFFF2" w14:textId="77777777">
        <w:tblPrEx>
          <w:tblCellMar>
            <w:top w:w="0" w:type="dxa"/>
            <w:bottom w:w="0" w:type="dxa"/>
          </w:tblCellMar>
        </w:tblPrEx>
        <w:tc>
          <w:tcPr>
            <w:tcW w:w="8500" w:type="dxa"/>
            <w:shd w:val="clear" w:color="auto" w:fill="1F3864"/>
            <w:tcMar>
              <w:top w:w="80" w:type="dxa"/>
              <w:left w:w="120" w:type="dxa"/>
              <w:bottom w:w="80" w:type="dxa"/>
              <w:right w:w="120" w:type="dxa"/>
            </w:tcMar>
          </w:tcPr>
          <w:p w14:paraId="78DAC5B0" w14:textId="77777777" w:rsidR="003A2DE4" w:rsidRDefault="00000000">
            <w:pPr>
              <w:spacing w:before="60" w:after="60"/>
            </w:pPr>
            <w:r>
              <w:rPr>
                <w:rFonts w:ascii="Arial" w:eastAsia="Arial" w:hAnsi="Arial" w:cs="Arial"/>
                <w:b/>
                <w:bCs/>
                <w:color w:val="FFFFFF"/>
                <w:sz w:val="22"/>
                <w:szCs w:val="22"/>
              </w:rPr>
              <w:t>6.  COMPETITION &amp; MOAT</w:t>
            </w:r>
          </w:p>
        </w:tc>
        <w:tc>
          <w:tcPr>
            <w:tcW w:w="860" w:type="dxa"/>
            <w:shd w:val="clear" w:color="auto" w:fill="1F3864"/>
            <w:tcMar>
              <w:top w:w="80" w:type="dxa"/>
              <w:left w:w="120" w:type="dxa"/>
              <w:bottom w:w="80" w:type="dxa"/>
              <w:right w:w="120" w:type="dxa"/>
            </w:tcMar>
          </w:tcPr>
          <w:p w14:paraId="7BDEF362" w14:textId="77777777" w:rsidR="003A2DE4" w:rsidRDefault="00000000">
            <w:pPr>
              <w:spacing w:before="60" w:after="60"/>
            </w:pPr>
            <w:r>
              <w:rPr>
                <w:rFonts w:ascii="Arial" w:eastAsia="Arial" w:hAnsi="Arial" w:cs="Arial"/>
                <w:b/>
                <w:bCs/>
                <w:color w:val="FFFFFF"/>
                <w:sz w:val="22"/>
                <w:szCs w:val="22"/>
              </w:rPr>
              <w:t>Score</w:t>
            </w:r>
          </w:p>
        </w:tc>
      </w:tr>
      <w:tr w:rsidR="003A2DE4" w14:paraId="1BAF73AC" w14:textId="77777777">
        <w:tblPrEx>
          <w:tblCellMar>
            <w:top w:w="0" w:type="dxa"/>
            <w:bottom w:w="0" w:type="dxa"/>
          </w:tblCellMar>
        </w:tblPrEx>
        <w:tc>
          <w:tcPr>
            <w:tcW w:w="8500" w:type="dxa"/>
            <w:shd w:val="clear" w:color="auto" w:fill="FFFFFF"/>
            <w:tcMar>
              <w:top w:w="100" w:type="dxa"/>
              <w:left w:w="140" w:type="dxa"/>
              <w:bottom w:w="100" w:type="dxa"/>
              <w:right w:w="100" w:type="dxa"/>
            </w:tcMar>
          </w:tcPr>
          <w:p w14:paraId="3A06BECE" w14:textId="77777777" w:rsidR="003A2DE4" w:rsidRDefault="00000000">
            <w:pPr>
              <w:spacing w:before="60" w:after="60"/>
            </w:pPr>
            <w:r>
              <w:rPr>
                <w:rFonts w:ascii="Arial" w:eastAsia="Arial" w:hAnsi="Arial" w:cs="Arial"/>
                <w:color w:val="000000"/>
                <w:sz w:val="22"/>
                <w:szCs w:val="22"/>
              </w:rPr>
              <w:t>Named competitors: ServiceNow (AIOps + ITSM incumbent with deep enterprise integration), Dynatrace (observability + AIOps at scale), Cisco/Splunk (security + IT ops convergence), PagerDuty, Moogsoft, BigPanda, OpsRamp/HPE. Competitive Risk: 7/10.</w:t>
            </w:r>
          </w:p>
          <w:p w14:paraId="2FD2C126" w14:textId="77777777" w:rsidR="003A2DE4" w:rsidRDefault="00000000">
            <w:pPr>
              <w:spacing w:before="60" w:after="60"/>
            </w:pPr>
            <w:r>
              <w:rPr>
                <w:rFonts w:ascii="Arial" w:eastAsia="Arial" w:hAnsi="Arial" w:cs="Arial"/>
                <w:color w:val="000000"/>
                <w:sz w:val="22"/>
                <w:szCs w:val="22"/>
              </w:rPr>
              <w:t>Biggest threat: Microsoft (Purview) and ServiceNow absorbing AI governance as a native platform module — both are already in the CDW channel with larger salesforces. AFFIRM has an 18–24 month window before platform encroachment accelerates. FedRAMP inherited via Project Hosts is available to competitors on the same path — weaker moat claim than presented.</w:t>
            </w:r>
          </w:p>
          <w:p w14:paraId="4348A040" w14:textId="77777777" w:rsidR="003A2DE4" w:rsidRDefault="00000000">
            <w:pPr>
              <w:spacing w:before="60" w:after="60"/>
            </w:pPr>
            <w:r>
              <w:rPr>
                <w:rFonts w:ascii="Arial" w:eastAsia="Arial" w:hAnsi="Arial" w:cs="Arial"/>
                <w:color w:val="000000"/>
                <w:sz w:val="22"/>
                <w:szCs w:val="22"/>
              </w:rPr>
              <w:t>Near-term differentiation: CDW branded product (structural channel moat competitors must displace, not replicate), Carahsoft federal contract vehicles (real cost-and-time barrier to replicate), and ServiceNow integration depth. Position is defensible short-term; moat must deepen before incumbents respond.</w:t>
            </w:r>
          </w:p>
        </w:tc>
        <w:tc>
          <w:tcPr>
            <w:tcW w:w="860" w:type="dxa"/>
            <w:shd w:val="clear" w:color="auto" w:fill="FFC000"/>
            <w:tcMar>
              <w:top w:w="100" w:type="dxa"/>
              <w:left w:w="80" w:type="dxa"/>
              <w:bottom w:w="100" w:type="dxa"/>
              <w:right w:w="80" w:type="dxa"/>
            </w:tcMar>
            <w:vAlign w:val="center"/>
          </w:tcPr>
          <w:p w14:paraId="5438A219" w14:textId="77777777" w:rsidR="003A2DE4" w:rsidRDefault="00000000">
            <w:pPr>
              <w:spacing w:before="60" w:after="60"/>
              <w:jc w:val="center"/>
            </w:pPr>
            <w:r>
              <w:rPr>
                <w:rFonts w:ascii="Arial" w:eastAsia="Arial" w:hAnsi="Arial" w:cs="Arial"/>
                <w:b/>
                <w:bCs/>
                <w:color w:val="000000"/>
                <w:sz w:val="32"/>
                <w:szCs w:val="32"/>
              </w:rPr>
              <w:t>3</w:t>
            </w:r>
          </w:p>
        </w:tc>
      </w:tr>
    </w:tbl>
    <w:p w14:paraId="34F5581D" w14:textId="77777777" w:rsidR="003A2DE4" w:rsidRDefault="003A2DE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gridCol w:w="860"/>
      </w:tblGrid>
      <w:tr w:rsidR="003A2DE4" w14:paraId="07967F10" w14:textId="77777777">
        <w:tblPrEx>
          <w:tblCellMar>
            <w:top w:w="0" w:type="dxa"/>
            <w:bottom w:w="0" w:type="dxa"/>
          </w:tblCellMar>
        </w:tblPrEx>
        <w:tc>
          <w:tcPr>
            <w:tcW w:w="8500" w:type="dxa"/>
            <w:shd w:val="clear" w:color="auto" w:fill="1F3864"/>
            <w:tcMar>
              <w:top w:w="80" w:type="dxa"/>
              <w:left w:w="120" w:type="dxa"/>
              <w:bottom w:w="80" w:type="dxa"/>
              <w:right w:w="120" w:type="dxa"/>
            </w:tcMar>
          </w:tcPr>
          <w:p w14:paraId="43422714" w14:textId="77777777" w:rsidR="003A2DE4" w:rsidRDefault="00000000">
            <w:pPr>
              <w:spacing w:before="60" w:after="60"/>
            </w:pPr>
            <w:r>
              <w:rPr>
                <w:rFonts w:ascii="Arial" w:eastAsia="Arial" w:hAnsi="Arial" w:cs="Arial"/>
                <w:b/>
                <w:bCs/>
                <w:color w:val="FFFFFF"/>
                <w:sz w:val="22"/>
                <w:szCs w:val="22"/>
              </w:rPr>
              <w:t>7.  GO-TO-MARKET STRATEGY</w:t>
            </w:r>
          </w:p>
        </w:tc>
        <w:tc>
          <w:tcPr>
            <w:tcW w:w="860" w:type="dxa"/>
            <w:shd w:val="clear" w:color="auto" w:fill="1F3864"/>
            <w:tcMar>
              <w:top w:w="80" w:type="dxa"/>
              <w:left w:w="120" w:type="dxa"/>
              <w:bottom w:w="80" w:type="dxa"/>
              <w:right w:w="120" w:type="dxa"/>
            </w:tcMar>
          </w:tcPr>
          <w:p w14:paraId="5BE1FC3C" w14:textId="77777777" w:rsidR="003A2DE4" w:rsidRDefault="00000000">
            <w:pPr>
              <w:spacing w:before="60" w:after="60"/>
            </w:pPr>
            <w:r>
              <w:rPr>
                <w:rFonts w:ascii="Arial" w:eastAsia="Arial" w:hAnsi="Arial" w:cs="Arial"/>
                <w:b/>
                <w:bCs/>
                <w:color w:val="FFFFFF"/>
                <w:sz w:val="22"/>
                <w:szCs w:val="22"/>
              </w:rPr>
              <w:t>Score</w:t>
            </w:r>
          </w:p>
        </w:tc>
      </w:tr>
      <w:tr w:rsidR="003A2DE4" w14:paraId="72BF9A20" w14:textId="77777777">
        <w:tblPrEx>
          <w:tblCellMar>
            <w:top w:w="0" w:type="dxa"/>
            <w:bottom w:w="0" w:type="dxa"/>
          </w:tblCellMar>
        </w:tblPrEx>
        <w:tc>
          <w:tcPr>
            <w:tcW w:w="8500" w:type="dxa"/>
            <w:shd w:val="clear" w:color="auto" w:fill="FFFFFF"/>
            <w:tcMar>
              <w:top w:w="100" w:type="dxa"/>
              <w:left w:w="140" w:type="dxa"/>
              <w:bottom w:w="100" w:type="dxa"/>
              <w:right w:w="100" w:type="dxa"/>
            </w:tcMar>
          </w:tcPr>
          <w:p w14:paraId="3395468E" w14:textId="77777777" w:rsidR="003A2DE4" w:rsidRDefault="00000000">
            <w:pPr>
              <w:spacing w:before="60" w:after="60"/>
            </w:pPr>
            <w:r>
              <w:rPr>
                <w:rFonts w:ascii="Arial" w:eastAsia="Arial" w:hAnsi="Arial" w:cs="Arial"/>
                <w:color w:val="000000"/>
                <w:sz w:val="22"/>
                <w:szCs w:val="22"/>
              </w:rPr>
              <w:lastRenderedPageBreak/>
              <w:t>Channel-first model:  CDW is anchor distributor — 400-person salesforce, 10,000-customer base, branded 'CDW AI Model Managed Services' product built on AFFIRM. Carahsoft covers federal procurement. ICP is well-defined: federal agencies and large enterprise IT ops teams with multi-cloud/hybrid deployments and regulatory compliance requirements.</w:t>
            </w:r>
          </w:p>
          <w:p w14:paraId="00C082D7" w14:textId="77777777" w:rsidR="003A2DE4" w:rsidRDefault="00000000">
            <w:pPr>
              <w:spacing w:before="60" w:after="60"/>
            </w:pPr>
            <w:r>
              <w:rPr>
                <w:rFonts w:ascii="Arial" w:eastAsia="Arial" w:hAnsi="Arial" w:cs="Arial"/>
                <w:color w:val="000000"/>
                <w:sz w:val="22"/>
                <w:szCs w:val="22"/>
              </w:rPr>
              <w:t>What works: Near-zero CAC via CDW co-selling. ServiceNow integration reaches buyers through a trusted workflow platform. FedRAMP compliance path (via Carahsoft) opens a defined federal procurement channel. Enterprise buying motion aligns with how CDW already sells to its customer base.</w:t>
            </w:r>
          </w:p>
          <w:p w14:paraId="74682FFE" w14:textId="77777777" w:rsidR="003A2DE4" w:rsidRDefault="00000000">
            <w:pPr>
              <w:spacing w:before="60" w:after="60"/>
            </w:pPr>
            <w:r>
              <w:rPr>
                <w:rFonts w:ascii="Arial" w:eastAsia="Arial" w:hAnsi="Arial" w:cs="Arial"/>
                <w:color w:val="000000"/>
                <w:sz w:val="22"/>
                <w:szCs w:val="22"/>
              </w:rPr>
              <w:t>GTM Limitation:  Single-channel dependency — no alternative at CDW scale identified. No CAC or sales cycle data provided. Federal procurement cycles are 6–18 months, creating a significant cash conversion lag. Plan to add +1–2 new MSPs per quarter has not been evidenced. Market Risk: 5/10.</w:t>
            </w:r>
          </w:p>
        </w:tc>
        <w:tc>
          <w:tcPr>
            <w:tcW w:w="860" w:type="dxa"/>
            <w:shd w:val="clear" w:color="auto" w:fill="FFC000"/>
            <w:tcMar>
              <w:top w:w="100" w:type="dxa"/>
              <w:left w:w="80" w:type="dxa"/>
              <w:bottom w:w="100" w:type="dxa"/>
              <w:right w:w="80" w:type="dxa"/>
            </w:tcMar>
            <w:vAlign w:val="center"/>
          </w:tcPr>
          <w:p w14:paraId="5C0624D3" w14:textId="77777777" w:rsidR="003A2DE4" w:rsidRDefault="00000000">
            <w:pPr>
              <w:spacing w:before="60" w:after="60"/>
              <w:jc w:val="center"/>
            </w:pPr>
            <w:r>
              <w:rPr>
                <w:rFonts w:ascii="Arial" w:eastAsia="Arial" w:hAnsi="Arial" w:cs="Arial"/>
                <w:b/>
                <w:bCs/>
                <w:color w:val="000000"/>
                <w:sz w:val="32"/>
                <w:szCs w:val="32"/>
              </w:rPr>
              <w:t>3</w:t>
            </w:r>
          </w:p>
        </w:tc>
      </w:tr>
    </w:tbl>
    <w:p w14:paraId="3B88B7E9" w14:textId="77777777" w:rsidR="003A2DE4" w:rsidRDefault="003A2DE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gridCol w:w="860"/>
      </w:tblGrid>
      <w:tr w:rsidR="003A2DE4" w14:paraId="3555D0B9" w14:textId="77777777">
        <w:tblPrEx>
          <w:tblCellMar>
            <w:top w:w="0" w:type="dxa"/>
            <w:bottom w:w="0" w:type="dxa"/>
          </w:tblCellMar>
        </w:tblPrEx>
        <w:tc>
          <w:tcPr>
            <w:tcW w:w="8500" w:type="dxa"/>
            <w:shd w:val="clear" w:color="auto" w:fill="1F3864"/>
            <w:tcMar>
              <w:top w:w="80" w:type="dxa"/>
              <w:left w:w="120" w:type="dxa"/>
              <w:bottom w:w="80" w:type="dxa"/>
              <w:right w:w="120" w:type="dxa"/>
            </w:tcMar>
          </w:tcPr>
          <w:p w14:paraId="070429E8" w14:textId="77777777" w:rsidR="003A2DE4" w:rsidRDefault="00000000">
            <w:pPr>
              <w:spacing w:before="60" w:after="60"/>
            </w:pPr>
            <w:r>
              <w:rPr>
                <w:rFonts w:ascii="Arial" w:eastAsia="Arial" w:hAnsi="Arial" w:cs="Arial"/>
                <w:b/>
                <w:bCs/>
                <w:color w:val="FFFFFF"/>
                <w:sz w:val="22"/>
                <w:szCs w:val="22"/>
              </w:rPr>
              <w:t>8.  TEAM &amp; EXECUTION</w:t>
            </w:r>
          </w:p>
        </w:tc>
        <w:tc>
          <w:tcPr>
            <w:tcW w:w="860" w:type="dxa"/>
            <w:shd w:val="clear" w:color="auto" w:fill="1F3864"/>
            <w:tcMar>
              <w:top w:w="80" w:type="dxa"/>
              <w:left w:w="120" w:type="dxa"/>
              <w:bottom w:w="80" w:type="dxa"/>
              <w:right w:w="120" w:type="dxa"/>
            </w:tcMar>
          </w:tcPr>
          <w:p w14:paraId="45C86EF7" w14:textId="77777777" w:rsidR="003A2DE4" w:rsidRDefault="00000000">
            <w:pPr>
              <w:spacing w:before="60" w:after="60"/>
            </w:pPr>
            <w:r>
              <w:rPr>
                <w:rFonts w:ascii="Arial" w:eastAsia="Arial" w:hAnsi="Arial" w:cs="Arial"/>
                <w:b/>
                <w:bCs/>
                <w:color w:val="FFFFFF"/>
                <w:sz w:val="22"/>
                <w:szCs w:val="22"/>
              </w:rPr>
              <w:t>Score</w:t>
            </w:r>
          </w:p>
        </w:tc>
      </w:tr>
      <w:tr w:rsidR="003A2DE4" w14:paraId="653E1CB9" w14:textId="77777777">
        <w:tblPrEx>
          <w:tblCellMar>
            <w:top w:w="0" w:type="dxa"/>
            <w:bottom w:w="0" w:type="dxa"/>
          </w:tblCellMar>
        </w:tblPrEx>
        <w:tc>
          <w:tcPr>
            <w:tcW w:w="8500" w:type="dxa"/>
            <w:shd w:val="clear" w:color="auto" w:fill="FFFFFF"/>
            <w:tcMar>
              <w:top w:w="100" w:type="dxa"/>
              <w:left w:w="140" w:type="dxa"/>
              <w:bottom w:w="100" w:type="dxa"/>
              <w:right w:w="100" w:type="dxa"/>
            </w:tcMar>
          </w:tcPr>
          <w:p w14:paraId="38351EA0" w14:textId="77777777" w:rsidR="003A2DE4" w:rsidRDefault="00000000">
            <w:pPr>
              <w:spacing w:before="60" w:after="60"/>
            </w:pPr>
            <w:r>
              <w:rPr>
                <w:rFonts w:ascii="Arial" w:eastAsia="Arial" w:hAnsi="Arial" w:cs="Arial"/>
                <w:color w:val="000000"/>
                <w:sz w:val="22"/>
                <w:szCs w:val="22"/>
              </w:rPr>
              <w:t>CEO — Brad Levine:  30 years compliance domain, 4 exits ($180M+ aggregate shareholder value; most recent Telus Healthcare). Direct pattern-match: built and sold compliance software businesses before. Has secured CDW, Carahsoft, and Tampa General without a sales team. Working without cash compensation.</w:t>
            </w:r>
          </w:p>
          <w:p w14:paraId="68E4BCA9" w14:textId="77777777" w:rsidR="003A2DE4" w:rsidRDefault="00000000">
            <w:pPr>
              <w:spacing w:before="60" w:after="60"/>
            </w:pPr>
            <w:r>
              <w:rPr>
                <w:rFonts w:ascii="Arial" w:eastAsia="Arial" w:hAnsi="Arial" w:cs="Arial"/>
                <w:color w:val="000000"/>
                <w:sz w:val="22"/>
                <w:szCs w:val="22"/>
              </w:rPr>
              <w:t>Team:  Dennis Boyle (COO), Andrii Dimarov (SVP Technology — 15 yrs, Azure certified; resolves prior 'no CTO' flag), Mark Bortman (SVP Sales), Andrea Parado (SVP Delivery), Ron Nicol (Outside Director). All full-time. Advisory board is genuinely exceptional: Vice Admiral Sean Buck, Lt. Gen. Rick Moore, Anil Cheriyan (PWC/IBM), Vishal Amin (Microsoft/Bush Center), Tim Clyde (CACI/L3T).</w:t>
            </w:r>
          </w:p>
          <w:p w14:paraId="2A2685C0" w14:textId="77777777" w:rsidR="003A2DE4" w:rsidRDefault="00000000">
            <w:pPr>
              <w:spacing w:before="60" w:after="60"/>
            </w:pPr>
            <w:r>
              <w:rPr>
                <w:rFonts w:ascii="Arial" w:eastAsia="Arial" w:hAnsi="Arial" w:cs="Arial"/>
                <w:color w:val="000000"/>
                <w:sz w:val="22"/>
                <w:szCs w:val="22"/>
              </w:rPr>
              <w:t>❌  Risk flags:  (1) Brad Levine stated explicit intent to exit post-Series A (~2 years from raise) — no named successor identified; succession plan absent. (2) Key-person dependency on Levine for CDW relationship and advisory board access.  Execution Risk: 6/10.</w:t>
            </w:r>
          </w:p>
        </w:tc>
        <w:tc>
          <w:tcPr>
            <w:tcW w:w="860" w:type="dxa"/>
            <w:shd w:val="clear" w:color="auto" w:fill="FFC000"/>
            <w:tcMar>
              <w:top w:w="100" w:type="dxa"/>
              <w:left w:w="80" w:type="dxa"/>
              <w:bottom w:w="100" w:type="dxa"/>
              <w:right w:w="80" w:type="dxa"/>
            </w:tcMar>
            <w:vAlign w:val="center"/>
          </w:tcPr>
          <w:p w14:paraId="22E5CEE0" w14:textId="77777777" w:rsidR="003A2DE4" w:rsidRDefault="00000000">
            <w:pPr>
              <w:spacing w:before="60" w:after="60"/>
              <w:jc w:val="center"/>
            </w:pPr>
            <w:r>
              <w:rPr>
                <w:rFonts w:ascii="Arial" w:eastAsia="Arial" w:hAnsi="Arial" w:cs="Arial"/>
                <w:b/>
                <w:bCs/>
                <w:color w:val="000000"/>
                <w:sz w:val="32"/>
                <w:szCs w:val="32"/>
              </w:rPr>
              <w:t>3</w:t>
            </w:r>
          </w:p>
        </w:tc>
      </w:tr>
    </w:tbl>
    <w:p w14:paraId="1AE0CBA3" w14:textId="77777777" w:rsidR="003A2DE4" w:rsidRDefault="003A2DE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gridCol w:w="860"/>
      </w:tblGrid>
      <w:tr w:rsidR="003A2DE4" w14:paraId="22CAF8E7" w14:textId="77777777">
        <w:tblPrEx>
          <w:tblCellMar>
            <w:top w:w="0" w:type="dxa"/>
            <w:bottom w:w="0" w:type="dxa"/>
          </w:tblCellMar>
        </w:tblPrEx>
        <w:tc>
          <w:tcPr>
            <w:tcW w:w="8500" w:type="dxa"/>
            <w:shd w:val="clear" w:color="auto" w:fill="1F3864"/>
            <w:tcMar>
              <w:top w:w="80" w:type="dxa"/>
              <w:left w:w="120" w:type="dxa"/>
              <w:bottom w:w="80" w:type="dxa"/>
              <w:right w:w="120" w:type="dxa"/>
            </w:tcMar>
          </w:tcPr>
          <w:p w14:paraId="3CF0EB4E" w14:textId="77777777" w:rsidR="003A2DE4" w:rsidRDefault="00000000">
            <w:pPr>
              <w:spacing w:before="60" w:after="60"/>
            </w:pPr>
            <w:r>
              <w:rPr>
                <w:rFonts w:ascii="Arial" w:eastAsia="Arial" w:hAnsi="Arial" w:cs="Arial"/>
                <w:b/>
                <w:bCs/>
                <w:color w:val="FFFFFF"/>
                <w:sz w:val="22"/>
                <w:szCs w:val="22"/>
              </w:rPr>
              <w:t>9.  DEAL STRUCTURE &amp; CAP TABLE</w:t>
            </w:r>
          </w:p>
        </w:tc>
        <w:tc>
          <w:tcPr>
            <w:tcW w:w="860" w:type="dxa"/>
            <w:shd w:val="clear" w:color="auto" w:fill="1F3864"/>
            <w:tcMar>
              <w:top w:w="80" w:type="dxa"/>
              <w:left w:w="120" w:type="dxa"/>
              <w:bottom w:w="80" w:type="dxa"/>
              <w:right w:w="120" w:type="dxa"/>
            </w:tcMar>
          </w:tcPr>
          <w:p w14:paraId="017FE6EE" w14:textId="77777777" w:rsidR="003A2DE4" w:rsidRDefault="00000000">
            <w:pPr>
              <w:spacing w:before="60" w:after="60"/>
            </w:pPr>
            <w:r>
              <w:rPr>
                <w:rFonts w:ascii="Arial" w:eastAsia="Arial" w:hAnsi="Arial" w:cs="Arial"/>
                <w:b/>
                <w:bCs/>
                <w:color w:val="FFFFFF"/>
                <w:sz w:val="22"/>
                <w:szCs w:val="22"/>
              </w:rPr>
              <w:t>Score</w:t>
            </w:r>
          </w:p>
        </w:tc>
      </w:tr>
      <w:tr w:rsidR="003A2DE4" w14:paraId="441D2514" w14:textId="77777777">
        <w:tblPrEx>
          <w:tblCellMar>
            <w:top w:w="0" w:type="dxa"/>
            <w:bottom w:w="0" w:type="dxa"/>
          </w:tblCellMar>
        </w:tblPrEx>
        <w:tc>
          <w:tcPr>
            <w:tcW w:w="8500" w:type="dxa"/>
            <w:shd w:val="clear" w:color="auto" w:fill="FFFFFF"/>
            <w:tcMar>
              <w:top w:w="100" w:type="dxa"/>
              <w:left w:w="140" w:type="dxa"/>
              <w:bottom w:w="100" w:type="dxa"/>
              <w:right w:w="100" w:type="dxa"/>
            </w:tcMar>
          </w:tcPr>
          <w:p w14:paraId="5FBB717C" w14:textId="77777777" w:rsidR="003A2DE4" w:rsidRDefault="00000000">
            <w:pPr>
              <w:spacing w:before="60" w:after="60"/>
            </w:pPr>
            <w:r>
              <w:rPr>
                <w:rFonts w:ascii="Arial" w:eastAsia="Arial" w:hAnsi="Arial" w:cs="Arial"/>
                <w:color w:val="000000"/>
                <w:sz w:val="22"/>
                <w:szCs w:val="22"/>
              </w:rPr>
              <w:t>❌  TWO HARD GATE FAILURES:  (1) Entity is Synergist Technology, LLC with Membership Units — NWAi requires C-Corp; conversion is a non-negotiable condition before any term sheet. (2) Round is structured as SAFE II — NWAi requires equity or convertible note; no SAFEs. Brad Levine verbally committed 'we will not do a SAFE with you' — not yet confirmed in writing.</w:t>
            </w:r>
          </w:p>
          <w:p w14:paraId="34FD96E6" w14:textId="77777777" w:rsidR="003A2DE4" w:rsidRDefault="00000000">
            <w:pPr>
              <w:spacing w:before="60" w:after="60"/>
            </w:pPr>
            <w:r>
              <w:rPr>
                <w:rFonts w:ascii="Arial" w:eastAsia="Arial" w:hAnsi="Arial" w:cs="Arial"/>
                <w:color w:val="000000"/>
                <w:sz w:val="22"/>
                <w:szCs w:val="22"/>
              </w:rPr>
              <w:t>⚠  No institutional lead investor identified for current raise. NWAi rarely leads. Lead must be identified before or concurrent with NWAi participation. Cap table reviewed: Levine and Boyle as primary founders, Ron Nicol outside director, SAFE I angels on cap table. CIBC credit line secured against ARR (positive institutional validation). Option pool adequacy unverified.</w:t>
            </w:r>
          </w:p>
          <w:p w14:paraId="7F92C68C" w14:textId="77777777" w:rsidR="003A2DE4" w:rsidRDefault="00000000">
            <w:pPr>
              <w:spacing w:before="60" w:after="60"/>
            </w:pPr>
            <w:r>
              <w:rPr>
                <w:rFonts w:ascii="Arial" w:eastAsia="Arial" w:hAnsi="Arial" w:cs="Arial"/>
                <w:color w:val="000000"/>
                <w:sz w:val="22"/>
                <w:szCs w:val="22"/>
              </w:rPr>
              <w:t>Round economics: $3.5M raise at $33.5M post-money cap represents a premium valuation against $24K Q1 revenue — justified only if CDW channel ramp materializes at projected rates. NWAi proposed check size and liquidation preference: [TO BE CONFIRMED] pending round restructure and lead identification.</w:t>
            </w:r>
          </w:p>
        </w:tc>
        <w:tc>
          <w:tcPr>
            <w:tcW w:w="860" w:type="dxa"/>
            <w:shd w:val="clear" w:color="auto" w:fill="C00000"/>
            <w:tcMar>
              <w:top w:w="100" w:type="dxa"/>
              <w:left w:w="80" w:type="dxa"/>
              <w:bottom w:w="100" w:type="dxa"/>
              <w:right w:w="80" w:type="dxa"/>
            </w:tcMar>
            <w:vAlign w:val="center"/>
          </w:tcPr>
          <w:p w14:paraId="3CD7F6A0" w14:textId="77777777" w:rsidR="003A2DE4" w:rsidRDefault="00000000">
            <w:pPr>
              <w:spacing w:before="60" w:after="60"/>
              <w:jc w:val="center"/>
            </w:pPr>
            <w:r>
              <w:rPr>
                <w:rFonts w:ascii="Arial" w:eastAsia="Arial" w:hAnsi="Arial" w:cs="Arial"/>
                <w:b/>
                <w:bCs/>
                <w:color w:val="FFFFFF"/>
                <w:sz w:val="32"/>
                <w:szCs w:val="32"/>
              </w:rPr>
              <w:t>2</w:t>
            </w:r>
          </w:p>
        </w:tc>
      </w:tr>
    </w:tbl>
    <w:p w14:paraId="2D2438A6" w14:textId="77777777" w:rsidR="003A2DE4" w:rsidRDefault="003A2DE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gridCol w:w="860"/>
      </w:tblGrid>
      <w:tr w:rsidR="003A2DE4" w14:paraId="6993C6E1" w14:textId="77777777">
        <w:tblPrEx>
          <w:tblCellMar>
            <w:top w:w="0" w:type="dxa"/>
            <w:bottom w:w="0" w:type="dxa"/>
          </w:tblCellMar>
        </w:tblPrEx>
        <w:tc>
          <w:tcPr>
            <w:tcW w:w="8500" w:type="dxa"/>
            <w:shd w:val="clear" w:color="auto" w:fill="1F3864"/>
            <w:tcMar>
              <w:top w:w="80" w:type="dxa"/>
              <w:left w:w="120" w:type="dxa"/>
              <w:bottom w:w="80" w:type="dxa"/>
              <w:right w:w="120" w:type="dxa"/>
            </w:tcMar>
          </w:tcPr>
          <w:p w14:paraId="619DFD9D" w14:textId="77777777" w:rsidR="003A2DE4" w:rsidRDefault="00000000">
            <w:pPr>
              <w:spacing w:before="60" w:after="60"/>
            </w:pPr>
            <w:r>
              <w:rPr>
                <w:rFonts w:ascii="Arial" w:eastAsia="Arial" w:hAnsi="Arial" w:cs="Arial"/>
                <w:b/>
                <w:bCs/>
                <w:color w:val="FFFFFF"/>
                <w:sz w:val="22"/>
                <w:szCs w:val="22"/>
              </w:rPr>
              <w:lastRenderedPageBreak/>
              <w:t>10. FINANCIALS</w:t>
            </w:r>
          </w:p>
        </w:tc>
        <w:tc>
          <w:tcPr>
            <w:tcW w:w="860" w:type="dxa"/>
            <w:shd w:val="clear" w:color="auto" w:fill="1F3864"/>
            <w:tcMar>
              <w:top w:w="80" w:type="dxa"/>
              <w:left w:w="120" w:type="dxa"/>
              <w:bottom w:w="80" w:type="dxa"/>
              <w:right w:w="120" w:type="dxa"/>
            </w:tcMar>
          </w:tcPr>
          <w:p w14:paraId="05174A8D" w14:textId="77777777" w:rsidR="003A2DE4" w:rsidRDefault="00000000">
            <w:pPr>
              <w:spacing w:before="60" w:after="60"/>
            </w:pPr>
            <w:r>
              <w:rPr>
                <w:rFonts w:ascii="Arial" w:eastAsia="Arial" w:hAnsi="Arial" w:cs="Arial"/>
                <w:b/>
                <w:bCs/>
                <w:color w:val="FFFFFF"/>
                <w:sz w:val="22"/>
                <w:szCs w:val="22"/>
              </w:rPr>
              <w:t>Score</w:t>
            </w:r>
          </w:p>
        </w:tc>
      </w:tr>
      <w:tr w:rsidR="003A2DE4" w14:paraId="4C3A0083" w14:textId="77777777">
        <w:tblPrEx>
          <w:tblCellMar>
            <w:top w:w="0" w:type="dxa"/>
            <w:bottom w:w="0" w:type="dxa"/>
          </w:tblCellMar>
        </w:tblPrEx>
        <w:tc>
          <w:tcPr>
            <w:tcW w:w="8500" w:type="dxa"/>
            <w:shd w:val="clear" w:color="auto" w:fill="FFFFFF"/>
            <w:tcMar>
              <w:top w:w="100" w:type="dxa"/>
              <w:left w:w="140" w:type="dxa"/>
              <w:bottom w:w="100" w:type="dxa"/>
              <w:right w:w="100" w:type="dxa"/>
            </w:tcMar>
          </w:tcPr>
          <w:p w14:paraId="6541A6C3" w14:textId="77777777" w:rsidR="003A2DE4" w:rsidRDefault="00000000">
            <w:pPr>
              <w:spacing w:before="60" w:after="60"/>
            </w:pPr>
            <w:r>
              <w:rPr>
                <w:rFonts w:ascii="Arial" w:eastAsia="Arial" w:hAnsi="Arial" w:cs="Arial"/>
                <w:color w:val="000000"/>
                <w:sz w:val="22"/>
                <w:szCs w:val="22"/>
              </w:rPr>
              <w:t>Q1 2026 actual revenue: $24,375 (5 customers, $4,875 avg/month — below $7,500 floor). FY2026 budget: $1,350,690 — requires aggressive CDW-driven ramp.  ⚠  Revenue discrepancy: pitch deck Q1 actual ($24,375) conflicts with budget xlsx Q1 figure ($1,530) — must be reconciled with audited monthly records before financial model can be finalized. Runway: [TO BE CONFIRMED] — not disclosed. Burn rate unknown.</w:t>
            </w:r>
          </w:p>
          <w:p w14:paraId="22A77ECD" w14:textId="77777777" w:rsidR="003A2DE4" w:rsidRDefault="00000000">
            <w:pPr>
              <w:spacing w:before="60" w:after="60"/>
            </w:pPr>
            <w:r>
              <w:rPr>
                <w:rFonts w:ascii="Arial" w:eastAsia="Arial" w:hAnsi="Arial" w:cs="Arial"/>
                <w:color w:val="000000"/>
                <w:sz w:val="22"/>
                <w:szCs w:val="22"/>
              </w:rPr>
              <w:t>Use of Capital — $3.5M Raise [TO BE CONFIRMED]:  Sales &amp; Channel Expansion ~$1.2M (CDW activation, +2 MSP partners, sales team build-out) |  Engineering &amp; Product ~$900K (evaluator library, custom model capability, FedRAMP standalone path) |  Customer Success ~$500K |  G&amp;A / C-Corp Conversion ~$400K |  Working Capital Reserve ~$500K.  Critical milestone: $1M+ ARR before Series A launch (target Q4 2026).</w:t>
            </w:r>
          </w:p>
          <w:p w14:paraId="0EB850E6" w14:textId="77777777" w:rsidR="003A2DE4" w:rsidRDefault="00000000">
            <w:pPr>
              <w:spacing w:before="60" w:after="60"/>
            </w:pPr>
            <w:r>
              <w:rPr>
                <w:rFonts w:ascii="Arial" w:eastAsia="Arial" w:hAnsi="Arial" w:cs="Arial"/>
                <w:color w:val="000000"/>
                <w:sz w:val="22"/>
                <w:szCs w:val="22"/>
              </w:rPr>
              <w:t>NWAi Pro Forma (Revenue — NWAi model, not company):  Bear (20–40% YoY): Yr1 $540K → Yr5 $2.2M → exit ~$22M.  Base (50–100% YoY): Yr1 $1.35M → Yr5 $10M → exit ~$100M.  Bull (100–200% YoY): Yr1 $2M → Yr5 $40M+ → exit ~$400M+.  10x return check: Base case (~$100M) is marginal at $33.5M cap. Bull case required for NWAi 10x target. Investment thesis depends on CDW-driven ARR acceleration.  Financial Risk: 7/10.</w:t>
            </w:r>
          </w:p>
        </w:tc>
        <w:tc>
          <w:tcPr>
            <w:tcW w:w="860" w:type="dxa"/>
            <w:shd w:val="clear" w:color="auto" w:fill="FFC000"/>
            <w:tcMar>
              <w:top w:w="100" w:type="dxa"/>
              <w:left w:w="80" w:type="dxa"/>
              <w:bottom w:w="100" w:type="dxa"/>
              <w:right w:w="80" w:type="dxa"/>
            </w:tcMar>
            <w:vAlign w:val="center"/>
          </w:tcPr>
          <w:p w14:paraId="50043389" w14:textId="77777777" w:rsidR="003A2DE4" w:rsidRDefault="00000000">
            <w:pPr>
              <w:spacing w:before="60" w:after="60"/>
              <w:jc w:val="center"/>
            </w:pPr>
            <w:r>
              <w:rPr>
                <w:rFonts w:ascii="Arial" w:eastAsia="Arial" w:hAnsi="Arial" w:cs="Arial"/>
                <w:b/>
                <w:bCs/>
                <w:color w:val="000000"/>
                <w:sz w:val="32"/>
                <w:szCs w:val="32"/>
              </w:rPr>
              <w:t>3</w:t>
            </w:r>
          </w:p>
        </w:tc>
      </w:tr>
    </w:tbl>
    <w:p w14:paraId="68327116" w14:textId="77777777" w:rsidR="003A2DE4" w:rsidRDefault="003A2DE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gridCol w:w="860"/>
      </w:tblGrid>
      <w:tr w:rsidR="003A2DE4" w14:paraId="6C1E58D7" w14:textId="77777777">
        <w:tblPrEx>
          <w:tblCellMar>
            <w:top w:w="0" w:type="dxa"/>
            <w:bottom w:w="0" w:type="dxa"/>
          </w:tblCellMar>
        </w:tblPrEx>
        <w:tc>
          <w:tcPr>
            <w:tcW w:w="8500" w:type="dxa"/>
            <w:shd w:val="clear" w:color="auto" w:fill="1F3864"/>
            <w:tcMar>
              <w:top w:w="80" w:type="dxa"/>
              <w:left w:w="120" w:type="dxa"/>
              <w:bottom w:w="80" w:type="dxa"/>
              <w:right w:w="120" w:type="dxa"/>
            </w:tcMar>
          </w:tcPr>
          <w:p w14:paraId="72294E7A" w14:textId="77777777" w:rsidR="003A2DE4" w:rsidRDefault="00000000">
            <w:pPr>
              <w:spacing w:before="60" w:after="60"/>
            </w:pPr>
            <w:r>
              <w:rPr>
                <w:rFonts w:ascii="Arial" w:eastAsia="Arial" w:hAnsi="Arial" w:cs="Arial"/>
                <w:b/>
                <w:bCs/>
                <w:color w:val="FFFFFF"/>
                <w:sz w:val="22"/>
                <w:szCs w:val="22"/>
              </w:rPr>
              <w:t>11. RISK  (5 = lowest risk / best  |  1 = highest risk / worst)</w:t>
            </w:r>
          </w:p>
        </w:tc>
        <w:tc>
          <w:tcPr>
            <w:tcW w:w="860" w:type="dxa"/>
            <w:shd w:val="clear" w:color="auto" w:fill="1F3864"/>
            <w:tcMar>
              <w:top w:w="80" w:type="dxa"/>
              <w:left w:w="120" w:type="dxa"/>
              <w:bottom w:w="80" w:type="dxa"/>
              <w:right w:w="120" w:type="dxa"/>
            </w:tcMar>
          </w:tcPr>
          <w:p w14:paraId="35B49755" w14:textId="77777777" w:rsidR="003A2DE4" w:rsidRDefault="00000000">
            <w:pPr>
              <w:spacing w:before="60" w:after="60"/>
            </w:pPr>
            <w:r>
              <w:rPr>
                <w:rFonts w:ascii="Arial" w:eastAsia="Arial" w:hAnsi="Arial" w:cs="Arial"/>
                <w:b/>
                <w:bCs/>
                <w:color w:val="FFFFFF"/>
                <w:sz w:val="22"/>
                <w:szCs w:val="22"/>
              </w:rPr>
              <w:t>Score</w:t>
            </w:r>
          </w:p>
        </w:tc>
      </w:tr>
      <w:tr w:rsidR="003A2DE4" w14:paraId="6F7F9768" w14:textId="77777777">
        <w:tblPrEx>
          <w:tblCellMar>
            <w:top w:w="0" w:type="dxa"/>
            <w:bottom w:w="0" w:type="dxa"/>
          </w:tblCellMar>
        </w:tblPrEx>
        <w:tc>
          <w:tcPr>
            <w:tcW w:w="8500" w:type="dxa"/>
            <w:shd w:val="clear" w:color="auto" w:fill="FFFFFF"/>
            <w:tcMar>
              <w:top w:w="100" w:type="dxa"/>
              <w:left w:w="140" w:type="dxa"/>
              <w:bottom w:w="100" w:type="dxa"/>
              <w:right w:w="100" w:type="dxa"/>
            </w:tcMar>
          </w:tcPr>
          <w:p w14:paraId="63431C73" w14:textId="77777777" w:rsidR="003A2DE4" w:rsidRDefault="00000000">
            <w:pPr>
              <w:spacing w:before="60" w:after="60"/>
            </w:pPr>
            <w:r>
              <w:rPr>
                <w:rFonts w:ascii="Arial" w:eastAsia="Arial" w:hAnsi="Arial" w:cs="Arial"/>
                <w:color w:val="000000"/>
                <w:sz w:val="22"/>
                <w:szCs w:val="22"/>
              </w:rPr>
              <w:t>The three most significant risks: Financial (runway undisclosed, Q1 discrepancy unresolved, revenue very early), CDW Concentration (single distributor controls the entire 2026 revenue thesis — if CDW de-prioritizes AFFIRM, there is no fallback channel at scale), and Structural (LLC + SAFE II both fail NWAi criteria; verbal commitment to fix is not execution). Technical risk is the lowest dimension — platform is deployed and OEM-validated.</w:t>
            </w:r>
          </w:p>
          <w:p w14:paraId="20A75AA5" w14:textId="77777777" w:rsidR="003A2DE4" w:rsidRDefault="00000000">
            <w:pPr>
              <w:spacing w:before="60" w:after="60"/>
            </w:pPr>
            <w:r>
              <w:rPr>
                <w:rFonts w:ascii="Arial" w:eastAsia="Arial" w:hAnsi="Arial" w:cs="Arial"/>
                <w:color w:val="000000"/>
                <w:sz w:val="22"/>
                <w:szCs w:val="22"/>
              </w:rPr>
              <w:t>Risk table:  Execution 6/10 — key-person dependency, founder exit intent, succession absent |  Market 5/10 — CDW is primary adoption mechanism; long federal sales cycles |  Financial 7/10 ⚠ — very early revenue; runway undisclosed; Q1 discrepancy; unit economics unvalidated |  Technical 4/10 — core platform at TRL 7–8; open-source evaluator backbone is replication risk |  Competitive 7/10 ⚠ — crowded market; Microsoft and ServiceNow can absorb AI governance as platform feature within 24 months.</w:t>
            </w:r>
          </w:p>
          <w:p w14:paraId="4F4D30E0" w14:textId="77777777" w:rsidR="003A2DE4" w:rsidRDefault="00000000">
            <w:pPr>
              <w:spacing w:before="60" w:after="60"/>
            </w:pPr>
            <w:r>
              <w:rPr>
                <w:rFonts w:ascii="Arial" w:eastAsia="Arial" w:hAnsi="Arial" w:cs="Arial"/>
                <w:color w:val="000000"/>
                <w:sz w:val="22"/>
                <w:szCs w:val="22"/>
              </w:rPr>
              <w:t>Average Risk Score: 5.8/10  |  Critical (≥8): None.  Two scores at 7 (Financial, Competitive) — IC must document explicit mitigants for both. No single score at 10. No deal-breaker threshold triggered.</w:t>
            </w:r>
          </w:p>
        </w:tc>
        <w:tc>
          <w:tcPr>
            <w:tcW w:w="860" w:type="dxa"/>
            <w:shd w:val="clear" w:color="auto" w:fill="FFC000"/>
            <w:tcMar>
              <w:top w:w="100" w:type="dxa"/>
              <w:left w:w="80" w:type="dxa"/>
              <w:bottom w:w="100" w:type="dxa"/>
              <w:right w:w="80" w:type="dxa"/>
            </w:tcMar>
            <w:vAlign w:val="center"/>
          </w:tcPr>
          <w:p w14:paraId="5F58DF69" w14:textId="77777777" w:rsidR="003A2DE4" w:rsidRDefault="00000000">
            <w:pPr>
              <w:spacing w:before="60" w:after="60"/>
              <w:jc w:val="center"/>
            </w:pPr>
            <w:r>
              <w:rPr>
                <w:rFonts w:ascii="Arial" w:eastAsia="Arial" w:hAnsi="Arial" w:cs="Arial"/>
                <w:b/>
                <w:bCs/>
                <w:color w:val="000000"/>
                <w:sz w:val="32"/>
                <w:szCs w:val="32"/>
              </w:rPr>
              <w:t>3</w:t>
            </w:r>
          </w:p>
        </w:tc>
      </w:tr>
    </w:tbl>
    <w:p w14:paraId="0CE06FF0" w14:textId="77777777" w:rsidR="003A2DE4" w:rsidRDefault="003A2DE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gridCol w:w="860"/>
      </w:tblGrid>
      <w:tr w:rsidR="003A2DE4" w14:paraId="1EA25794" w14:textId="77777777">
        <w:tblPrEx>
          <w:tblCellMar>
            <w:top w:w="0" w:type="dxa"/>
            <w:bottom w:w="0" w:type="dxa"/>
          </w:tblCellMar>
        </w:tblPrEx>
        <w:tc>
          <w:tcPr>
            <w:tcW w:w="8500" w:type="dxa"/>
            <w:shd w:val="clear" w:color="auto" w:fill="1F3864"/>
            <w:tcMar>
              <w:top w:w="80" w:type="dxa"/>
              <w:left w:w="120" w:type="dxa"/>
              <w:bottom w:w="80" w:type="dxa"/>
              <w:right w:w="120" w:type="dxa"/>
            </w:tcMar>
          </w:tcPr>
          <w:p w14:paraId="1933071B" w14:textId="77777777" w:rsidR="003A2DE4" w:rsidRDefault="00000000">
            <w:pPr>
              <w:spacing w:before="60" w:after="60"/>
            </w:pPr>
            <w:r>
              <w:rPr>
                <w:rFonts w:ascii="Arial" w:eastAsia="Arial" w:hAnsi="Arial" w:cs="Arial"/>
                <w:b/>
                <w:bCs/>
                <w:color w:val="FFFFFF"/>
                <w:sz w:val="22"/>
                <w:szCs w:val="22"/>
              </w:rPr>
              <w:t>12. EXIT STRATEGY</w:t>
            </w:r>
          </w:p>
        </w:tc>
        <w:tc>
          <w:tcPr>
            <w:tcW w:w="860" w:type="dxa"/>
            <w:shd w:val="clear" w:color="auto" w:fill="1F3864"/>
            <w:tcMar>
              <w:top w:w="80" w:type="dxa"/>
              <w:left w:w="120" w:type="dxa"/>
              <w:bottom w:w="80" w:type="dxa"/>
              <w:right w:w="120" w:type="dxa"/>
            </w:tcMar>
          </w:tcPr>
          <w:p w14:paraId="55A46422" w14:textId="77777777" w:rsidR="003A2DE4" w:rsidRDefault="00000000">
            <w:pPr>
              <w:spacing w:before="60" w:after="60"/>
            </w:pPr>
            <w:r>
              <w:rPr>
                <w:rFonts w:ascii="Arial" w:eastAsia="Arial" w:hAnsi="Arial" w:cs="Arial"/>
                <w:b/>
                <w:bCs/>
                <w:color w:val="FFFFFF"/>
                <w:sz w:val="22"/>
                <w:szCs w:val="22"/>
              </w:rPr>
              <w:t>Score</w:t>
            </w:r>
          </w:p>
        </w:tc>
      </w:tr>
      <w:tr w:rsidR="003A2DE4" w14:paraId="281D8EAA" w14:textId="77777777">
        <w:tblPrEx>
          <w:tblCellMar>
            <w:top w:w="0" w:type="dxa"/>
            <w:bottom w:w="0" w:type="dxa"/>
          </w:tblCellMar>
        </w:tblPrEx>
        <w:tc>
          <w:tcPr>
            <w:tcW w:w="8500" w:type="dxa"/>
            <w:shd w:val="clear" w:color="auto" w:fill="FFFFFF"/>
            <w:tcMar>
              <w:top w:w="100" w:type="dxa"/>
              <w:left w:w="140" w:type="dxa"/>
              <w:bottom w:w="100" w:type="dxa"/>
              <w:right w:w="100" w:type="dxa"/>
            </w:tcMar>
          </w:tcPr>
          <w:p w14:paraId="55067978" w14:textId="77777777" w:rsidR="003A2DE4" w:rsidRDefault="00000000">
            <w:pPr>
              <w:spacing w:before="60" w:after="60"/>
            </w:pPr>
            <w:r>
              <w:rPr>
                <w:rFonts w:ascii="Arial" w:eastAsia="Arial" w:hAnsi="Arial" w:cs="Arial"/>
                <w:color w:val="000000"/>
                <w:sz w:val="22"/>
                <w:szCs w:val="22"/>
              </w:rPr>
              <w:t xml:space="preserve">Most likely exit: Strategic M&amp;A, 3–5 year horizon from Series A close. Primary acquirers: Microsoft (Azure/Purview — existing partner; AI governance extends M365 compliance stack), ServiceNow (ITSM overlap; AFFIRM's ServiceNow integration reduces acquisition friction), Cisco/Splunk (security + compliance </w:t>
            </w:r>
            <w:r>
              <w:rPr>
                <w:rFonts w:ascii="Arial" w:eastAsia="Arial" w:hAnsi="Arial" w:cs="Arial"/>
                <w:color w:val="000000"/>
                <w:sz w:val="22"/>
                <w:szCs w:val="22"/>
              </w:rPr>
              <w:lastRenderedPageBreak/>
              <w:t>convergence; extends XDR/SASE portfolio), CDW (defensive acquisition to own IP underlying its branded managed service).</w:t>
            </w:r>
          </w:p>
          <w:p w14:paraId="746ECCFA" w14:textId="77777777" w:rsidR="003A2DE4" w:rsidRDefault="00000000">
            <w:pPr>
              <w:spacing w:before="60" w:after="60"/>
            </w:pPr>
            <w:r>
              <w:rPr>
                <w:rFonts w:ascii="Arial" w:eastAsia="Arial" w:hAnsi="Arial" w:cs="Arial"/>
                <w:color w:val="000000"/>
                <w:sz w:val="22"/>
                <w:szCs w:val="22"/>
              </w:rPr>
              <w:t>Early exit triggers: Microsoft or ServiceNow acquisition discussion formalizes; 3+ MSP licensing contracts signed; $5M+ ARR reached.</w:t>
            </w:r>
          </w:p>
          <w:p w14:paraId="59BA9199" w14:textId="77777777" w:rsidR="003A2DE4" w:rsidRDefault="00000000">
            <w:pPr>
              <w:spacing w:before="60" w:after="60"/>
            </w:pPr>
            <w:r>
              <w:rPr>
                <w:rFonts w:ascii="Arial" w:eastAsia="Arial" w:hAnsi="Arial" w:cs="Arial"/>
                <w:color w:val="000000"/>
                <w:sz w:val="22"/>
                <w:szCs w:val="22"/>
              </w:rPr>
              <w:t>⚠  10x return gap: Base case does not support 10x at current $33.5M cap. Bull case ($400M+) hits target. IC should explicitly underwrite the CDW/MSP channel scale-up thesis or adjust check size to Base case returns.</w:t>
            </w:r>
          </w:p>
        </w:tc>
        <w:tc>
          <w:tcPr>
            <w:tcW w:w="860" w:type="dxa"/>
            <w:shd w:val="clear" w:color="auto" w:fill="375623"/>
            <w:tcMar>
              <w:top w:w="100" w:type="dxa"/>
              <w:left w:w="80" w:type="dxa"/>
              <w:bottom w:w="100" w:type="dxa"/>
              <w:right w:w="80" w:type="dxa"/>
            </w:tcMar>
            <w:vAlign w:val="center"/>
          </w:tcPr>
          <w:p w14:paraId="6570814F" w14:textId="77777777" w:rsidR="003A2DE4" w:rsidRDefault="00000000">
            <w:pPr>
              <w:spacing w:before="60" w:after="60"/>
              <w:jc w:val="center"/>
            </w:pPr>
            <w:r>
              <w:rPr>
                <w:rFonts w:ascii="Arial" w:eastAsia="Arial" w:hAnsi="Arial" w:cs="Arial"/>
                <w:b/>
                <w:bCs/>
                <w:color w:val="FFFFFF"/>
                <w:sz w:val="32"/>
                <w:szCs w:val="32"/>
              </w:rPr>
              <w:lastRenderedPageBreak/>
              <w:t>4</w:t>
            </w:r>
          </w:p>
        </w:tc>
      </w:tr>
    </w:tbl>
    <w:p w14:paraId="10F6D6DE" w14:textId="77777777" w:rsidR="003A2DE4" w:rsidRDefault="003A2DE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gridCol w:w="860"/>
      </w:tblGrid>
      <w:tr w:rsidR="003A2DE4" w14:paraId="0E1400E6" w14:textId="77777777">
        <w:tblPrEx>
          <w:tblCellMar>
            <w:top w:w="0" w:type="dxa"/>
            <w:bottom w:w="0" w:type="dxa"/>
          </w:tblCellMar>
        </w:tblPrEx>
        <w:tc>
          <w:tcPr>
            <w:tcW w:w="8500" w:type="dxa"/>
            <w:shd w:val="clear" w:color="auto" w:fill="1F3864"/>
            <w:tcMar>
              <w:top w:w="80" w:type="dxa"/>
              <w:left w:w="120" w:type="dxa"/>
              <w:bottom w:w="80" w:type="dxa"/>
              <w:right w:w="120" w:type="dxa"/>
            </w:tcMar>
          </w:tcPr>
          <w:p w14:paraId="689DC495" w14:textId="77777777" w:rsidR="003A2DE4" w:rsidRDefault="00000000">
            <w:pPr>
              <w:spacing w:before="60" w:after="60"/>
            </w:pPr>
            <w:r>
              <w:rPr>
                <w:rFonts w:ascii="Arial" w:eastAsia="Arial" w:hAnsi="Arial" w:cs="Arial"/>
                <w:b/>
                <w:bCs/>
                <w:color w:val="FFFFFF"/>
                <w:sz w:val="22"/>
                <w:szCs w:val="22"/>
              </w:rPr>
              <w:t>13. WHAT IS THE BET WE ARE MAKING</w:t>
            </w:r>
          </w:p>
        </w:tc>
        <w:tc>
          <w:tcPr>
            <w:tcW w:w="860" w:type="dxa"/>
            <w:shd w:val="clear" w:color="auto" w:fill="1F3864"/>
            <w:tcMar>
              <w:top w:w="80" w:type="dxa"/>
              <w:left w:w="120" w:type="dxa"/>
              <w:bottom w:w="80" w:type="dxa"/>
              <w:right w:w="120" w:type="dxa"/>
            </w:tcMar>
          </w:tcPr>
          <w:p w14:paraId="078B8257" w14:textId="77777777" w:rsidR="003A2DE4" w:rsidRDefault="00000000">
            <w:pPr>
              <w:spacing w:before="60" w:after="60"/>
            </w:pPr>
            <w:r>
              <w:rPr>
                <w:rFonts w:ascii="Arial" w:eastAsia="Arial" w:hAnsi="Arial" w:cs="Arial"/>
                <w:b/>
                <w:bCs/>
                <w:color w:val="FFFFFF"/>
                <w:sz w:val="22"/>
                <w:szCs w:val="22"/>
              </w:rPr>
              <w:t>Score</w:t>
            </w:r>
          </w:p>
        </w:tc>
      </w:tr>
      <w:tr w:rsidR="003A2DE4" w14:paraId="7078AF2E" w14:textId="77777777">
        <w:tblPrEx>
          <w:tblCellMar>
            <w:top w:w="0" w:type="dxa"/>
            <w:bottom w:w="0" w:type="dxa"/>
          </w:tblCellMar>
        </w:tblPrEx>
        <w:tc>
          <w:tcPr>
            <w:tcW w:w="8500" w:type="dxa"/>
            <w:shd w:val="clear" w:color="auto" w:fill="FFFFFF"/>
            <w:tcMar>
              <w:top w:w="100" w:type="dxa"/>
              <w:left w:w="140" w:type="dxa"/>
              <w:bottom w:w="100" w:type="dxa"/>
              <w:right w:w="100" w:type="dxa"/>
            </w:tcMar>
          </w:tcPr>
          <w:p w14:paraId="3073415C" w14:textId="77777777" w:rsidR="003A2DE4" w:rsidRDefault="00000000">
            <w:pPr>
              <w:spacing w:before="60" w:after="60"/>
            </w:pPr>
            <w:r>
              <w:rPr>
                <w:rFonts w:ascii="Arial" w:eastAsia="Arial" w:hAnsi="Arial" w:cs="Arial"/>
                <w:color w:val="000000"/>
                <w:sz w:val="22"/>
                <w:szCs w:val="22"/>
              </w:rPr>
              <w:t>The Consensus View:  Enterprise AI governance is a feature, not a company — Microsoft and ServiceNow will own it within 24 months.</w:t>
            </w:r>
          </w:p>
          <w:p w14:paraId="509F3D0A" w14:textId="77777777" w:rsidR="003A2DE4" w:rsidRDefault="00000000">
            <w:pPr>
              <w:spacing w:before="60" w:after="60"/>
            </w:pPr>
            <w:r>
              <w:rPr>
                <w:rFonts w:ascii="Arial" w:eastAsia="Arial" w:hAnsi="Arial" w:cs="Arial"/>
                <w:color w:val="000000"/>
                <w:sz w:val="22"/>
                <w:szCs w:val="22"/>
              </w:rPr>
              <w:t>Our Bet:  They're right about the end state. They're wrong about the timing. There is an 18–24 month window where the compliance requirement is mandatory but the platform giants haven't shipped — and a serial compliance operator with CDW distribution and federal contract coverage can lock in enough installed base and Memory Lock-in to make displacement expensive. We are betting on the window, not the moat. The exit thesis is a sale to the consolidator before they build it themselves.</w:t>
            </w:r>
          </w:p>
        </w:tc>
        <w:tc>
          <w:tcPr>
            <w:tcW w:w="860" w:type="dxa"/>
            <w:shd w:val="clear" w:color="auto" w:fill="FFC000"/>
            <w:tcMar>
              <w:top w:w="100" w:type="dxa"/>
              <w:left w:w="80" w:type="dxa"/>
              <w:bottom w:w="100" w:type="dxa"/>
              <w:right w:w="80" w:type="dxa"/>
            </w:tcMar>
            <w:vAlign w:val="center"/>
          </w:tcPr>
          <w:p w14:paraId="07F58194" w14:textId="77777777" w:rsidR="003A2DE4" w:rsidRDefault="00000000">
            <w:pPr>
              <w:spacing w:before="60" w:after="60"/>
              <w:jc w:val="center"/>
            </w:pPr>
            <w:r>
              <w:rPr>
                <w:rFonts w:ascii="Arial" w:eastAsia="Arial" w:hAnsi="Arial" w:cs="Arial"/>
                <w:b/>
                <w:bCs/>
                <w:color w:val="000000"/>
                <w:sz w:val="32"/>
                <w:szCs w:val="32"/>
              </w:rPr>
              <w:t>3</w:t>
            </w:r>
          </w:p>
        </w:tc>
      </w:tr>
    </w:tbl>
    <w:p w14:paraId="60E55C30" w14:textId="77777777" w:rsidR="003A2DE4" w:rsidRDefault="003A2DE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2DE4" w14:paraId="7B5B49EC" w14:textId="77777777">
        <w:tblPrEx>
          <w:tblCellMar>
            <w:top w:w="0" w:type="dxa"/>
            <w:bottom w:w="0" w:type="dxa"/>
          </w:tblCellMar>
        </w:tblPrEx>
        <w:tc>
          <w:tcPr>
            <w:tcW w:w="9360" w:type="dxa"/>
            <w:shd w:val="clear" w:color="auto" w:fill="1F3864"/>
            <w:tcMar>
              <w:top w:w="80" w:type="dxa"/>
              <w:left w:w="120" w:type="dxa"/>
              <w:bottom w:w="80" w:type="dxa"/>
              <w:right w:w="120" w:type="dxa"/>
            </w:tcMar>
          </w:tcPr>
          <w:p w14:paraId="5A0E8D9B" w14:textId="77777777" w:rsidR="003A2DE4" w:rsidRDefault="00000000">
            <w:pPr>
              <w:spacing w:before="60" w:after="60"/>
            </w:pPr>
            <w:r>
              <w:rPr>
                <w:rFonts w:ascii="Arial" w:eastAsia="Arial" w:hAnsi="Arial" w:cs="Arial"/>
                <w:b/>
                <w:bCs/>
                <w:color w:val="FFFFFF"/>
                <w:sz w:val="22"/>
                <w:szCs w:val="22"/>
              </w:rPr>
              <w:t>RECOMMENDATION</w:t>
            </w:r>
          </w:p>
        </w:tc>
      </w:tr>
      <w:tr w:rsidR="003A2DE4" w14:paraId="35AFDFE1" w14:textId="77777777">
        <w:tblPrEx>
          <w:tblCellMar>
            <w:top w:w="0" w:type="dxa"/>
            <w:bottom w:w="0" w:type="dxa"/>
          </w:tblCellMar>
        </w:tblPrEx>
        <w:tc>
          <w:tcPr>
            <w:tcW w:w="9360" w:type="dxa"/>
            <w:tcMar>
              <w:top w:w="100" w:type="dxa"/>
              <w:left w:w="160" w:type="dxa"/>
              <w:bottom w:w="100" w:type="dxa"/>
              <w:right w:w="160" w:type="dxa"/>
            </w:tcMar>
          </w:tcPr>
          <w:p w14:paraId="782FE209" w14:textId="77777777" w:rsidR="003A2DE4" w:rsidRDefault="00000000">
            <w:pPr>
              <w:spacing w:before="80" w:after="80"/>
            </w:pPr>
            <w:r>
              <w:rPr>
                <w:rFonts w:ascii="Arial" w:eastAsia="Arial" w:hAnsi="Arial" w:cs="Arial"/>
                <w:b/>
                <w:bCs/>
                <w:color w:val="000000"/>
                <w:sz w:val="22"/>
                <w:szCs w:val="22"/>
              </w:rPr>
              <w:t>NWAi TechGroup Recommendation:</w:t>
            </w:r>
          </w:p>
          <w:p w14:paraId="5FFF647C" w14:textId="77777777" w:rsidR="003A2DE4" w:rsidRDefault="00000000">
            <w:pPr>
              <w:spacing w:before="60" w:after="40"/>
            </w:pPr>
            <w:r>
              <w:rPr>
                <w:rFonts w:ascii="Arial" w:eastAsia="Arial" w:hAnsi="Arial" w:cs="Arial"/>
                <w:b/>
                <w:bCs/>
                <w:color w:val="000000"/>
                <w:sz w:val="22"/>
                <w:szCs w:val="22"/>
              </w:rPr>
              <w:t>☒  WATCH — [NWAi investment pending structural remediation]</w:t>
            </w:r>
          </w:p>
          <w:p w14:paraId="63BED491" w14:textId="77777777" w:rsidR="003A2DE4" w:rsidRDefault="00000000">
            <w:pPr>
              <w:spacing w:before="40" w:after="40"/>
            </w:pPr>
            <w:r>
              <w:rPr>
                <w:rFonts w:ascii="Arial" w:eastAsia="Arial" w:hAnsi="Arial" w:cs="Arial"/>
                <w:color w:val="000000"/>
                <w:sz w:val="22"/>
                <w:szCs w:val="22"/>
              </w:rPr>
              <w:t>☐  INVEST — [Dollar amount: TO BE CONFIRMED]</w:t>
            </w:r>
          </w:p>
          <w:p w14:paraId="2AEDB19E" w14:textId="77777777" w:rsidR="003A2DE4" w:rsidRDefault="00000000">
            <w:pPr>
              <w:spacing w:before="40" w:after="80"/>
            </w:pPr>
            <w:r>
              <w:rPr>
                <w:rFonts w:ascii="Arial" w:eastAsia="Arial" w:hAnsi="Arial" w:cs="Arial"/>
                <w:color w:val="000000"/>
                <w:sz w:val="22"/>
                <w:szCs w:val="22"/>
              </w:rPr>
              <w:t>☐  PASS — Do not invest</w:t>
            </w:r>
          </w:p>
          <w:p w14:paraId="7BC3C64C" w14:textId="77777777" w:rsidR="003A2DE4" w:rsidRDefault="00000000">
            <w:pPr>
              <w:spacing w:before="80" w:after="80"/>
            </w:pPr>
            <w:r>
              <w:rPr>
                <w:rFonts w:ascii="Arial" w:eastAsia="Arial" w:hAnsi="Arial" w:cs="Arial"/>
                <w:b/>
                <w:bCs/>
                <w:color w:val="000000"/>
                <w:sz w:val="22"/>
                <w:szCs w:val="22"/>
              </w:rPr>
              <w:t xml:space="preserve">Rationale:  </w:t>
            </w:r>
            <w:r>
              <w:rPr>
                <w:rFonts w:ascii="Arial" w:eastAsia="Arial" w:hAnsi="Arial" w:cs="Arial"/>
                <w:color w:val="000000"/>
                <w:sz w:val="22"/>
                <w:szCs w:val="22"/>
              </w:rPr>
              <w:t>Synergist is structurally blocked, not fundamentally broken. Brad Levine's four-exit compliance track record, a genuinely mandatory new AI governance compliance category, and the CDW/Carahsoft federal distribution moat meet NWAi conviction threshold — but not while the company is an LLC raising on a SAFE with no institutional lead and unresolved financials. Watch is a hold on the instrument, not the thesis. If Levine executes C-Corp conversion and restructures the round as verbally committed, this deal should be re-prioritized immediately.</w:t>
            </w:r>
          </w:p>
          <w:p w14:paraId="209B51E4" w14:textId="77777777" w:rsidR="003A2DE4" w:rsidRDefault="00000000">
            <w:pPr>
              <w:spacing w:before="80" w:after="60"/>
            </w:pPr>
            <w:r>
              <w:rPr>
                <w:rFonts w:ascii="Arial" w:eastAsia="Arial" w:hAnsi="Arial" w:cs="Arial"/>
                <w:b/>
                <w:bCs/>
                <w:color w:val="000000"/>
                <w:sz w:val="22"/>
                <w:szCs w:val="22"/>
              </w:rPr>
              <w:t>Conditions Before Capital Deployment:</w:t>
            </w:r>
          </w:p>
          <w:p w14:paraId="01A14A1C" w14:textId="77777777" w:rsidR="003A2DE4" w:rsidRDefault="00000000">
            <w:pPr>
              <w:spacing w:before="40" w:after="40"/>
            </w:pPr>
            <w:r>
              <w:rPr>
                <w:rFonts w:ascii="Arial" w:eastAsia="Arial" w:hAnsi="Arial" w:cs="Arial"/>
                <w:color w:val="000000"/>
                <w:sz w:val="22"/>
                <w:szCs w:val="22"/>
              </w:rPr>
              <w:t>1.  C-Corp conversion confirmed with signed legal documentation — executed or irrevocably committed before NWAi term sheet</w:t>
            </w:r>
          </w:p>
          <w:p w14:paraId="23A4C314" w14:textId="77777777" w:rsidR="003A2DE4" w:rsidRDefault="00000000">
            <w:pPr>
              <w:spacing w:before="40" w:after="40"/>
            </w:pPr>
            <w:r>
              <w:rPr>
                <w:rFonts w:ascii="Arial" w:eastAsia="Arial" w:hAnsi="Arial" w:cs="Arial"/>
                <w:color w:val="000000"/>
                <w:sz w:val="22"/>
                <w:szCs w:val="22"/>
              </w:rPr>
              <w:t>2.  Round restructured from SAFE II to priced equity or convertible note — confirmed in writing</w:t>
            </w:r>
          </w:p>
          <w:p w14:paraId="02DCA4DF" w14:textId="77777777" w:rsidR="003A2DE4" w:rsidRDefault="00000000">
            <w:pPr>
              <w:spacing w:before="40" w:after="40"/>
            </w:pPr>
            <w:r>
              <w:rPr>
                <w:rFonts w:ascii="Arial" w:eastAsia="Arial" w:hAnsi="Arial" w:cs="Arial"/>
                <w:color w:val="000000"/>
                <w:sz w:val="22"/>
                <w:szCs w:val="22"/>
              </w:rPr>
              <w:t>3.  Institutional lead investor identified and confirmed</w:t>
            </w:r>
          </w:p>
          <w:p w14:paraId="65ADAC61" w14:textId="77777777" w:rsidR="003A2DE4" w:rsidRDefault="00000000">
            <w:pPr>
              <w:spacing w:before="40" w:after="40"/>
            </w:pPr>
            <w:r>
              <w:rPr>
                <w:rFonts w:ascii="Arial" w:eastAsia="Arial" w:hAnsi="Arial" w:cs="Arial"/>
                <w:color w:val="000000"/>
                <w:sz w:val="22"/>
                <w:szCs w:val="22"/>
              </w:rPr>
              <w:t>4.  CDW pipeline activation confirmed by direct reference call with CDW program lead — pipeline, SKU status, and minimum commitment documented</w:t>
            </w:r>
          </w:p>
          <w:p w14:paraId="52BAF1A0" w14:textId="77777777" w:rsidR="003A2DE4" w:rsidRDefault="00000000">
            <w:pPr>
              <w:spacing w:before="40" w:after="40"/>
            </w:pPr>
            <w:r>
              <w:rPr>
                <w:rFonts w:ascii="Arial" w:eastAsia="Arial" w:hAnsi="Arial" w:cs="Arial"/>
                <w:color w:val="000000"/>
                <w:sz w:val="22"/>
                <w:szCs w:val="22"/>
              </w:rPr>
              <w:t>5.  Q1 revenue discrepancy reconciled with audited monthly revenue records</w:t>
            </w:r>
          </w:p>
          <w:p w14:paraId="68D45AE5" w14:textId="77777777" w:rsidR="003A2DE4" w:rsidRDefault="00000000">
            <w:pPr>
              <w:spacing w:before="80" w:after="80"/>
            </w:pPr>
            <w:r>
              <w:rPr>
                <w:rFonts w:ascii="Arial" w:eastAsia="Arial" w:hAnsi="Arial" w:cs="Arial"/>
                <w:color w:val="000000"/>
                <w:sz w:val="22"/>
                <w:szCs w:val="22"/>
              </w:rPr>
              <w:t>Theme 3 — WorkTech &amp; Vertical Enterprise OS  |  Lead: TBD — Pending Dealum API  |  SMEs: TBD — Pending Dealum API</w:t>
            </w:r>
          </w:p>
        </w:tc>
      </w:tr>
    </w:tbl>
    <w:p w14:paraId="372C88AA" w14:textId="77777777" w:rsidR="003A2DE4" w:rsidRDefault="003A2DE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2DE4" w14:paraId="5236B476" w14:textId="77777777">
        <w:tblPrEx>
          <w:tblCellMar>
            <w:top w:w="0" w:type="dxa"/>
            <w:bottom w:w="0" w:type="dxa"/>
          </w:tblCellMar>
        </w:tblPrEx>
        <w:tc>
          <w:tcPr>
            <w:tcW w:w="9360" w:type="dxa"/>
            <w:gridSpan w:val="4"/>
            <w:shd w:val="clear" w:color="auto" w:fill="1F3864"/>
            <w:tcMar>
              <w:top w:w="80" w:type="dxa"/>
              <w:left w:w="140" w:type="dxa"/>
              <w:bottom w:w="80" w:type="dxa"/>
              <w:right w:w="140" w:type="dxa"/>
            </w:tcMar>
          </w:tcPr>
          <w:p w14:paraId="4283B800" w14:textId="77777777" w:rsidR="003A2DE4" w:rsidRDefault="00000000">
            <w:pPr>
              <w:spacing w:before="60" w:after="60"/>
            </w:pPr>
            <w:r>
              <w:rPr>
                <w:rFonts w:ascii="Arial" w:eastAsia="Arial" w:hAnsi="Arial" w:cs="Arial"/>
                <w:b/>
                <w:bCs/>
                <w:color w:val="FFFFFF"/>
                <w:sz w:val="22"/>
                <w:szCs w:val="22"/>
              </w:rPr>
              <w:lastRenderedPageBreak/>
              <w:t>DD TEAM VOTES</w:t>
            </w:r>
          </w:p>
        </w:tc>
      </w:tr>
      <w:tr w:rsidR="003A2DE4" w14:paraId="01B5A2C7" w14:textId="77777777">
        <w:tblPrEx>
          <w:tblCellMar>
            <w:top w:w="0" w:type="dxa"/>
            <w:bottom w:w="0" w:type="dxa"/>
          </w:tblCellMar>
        </w:tblPrEx>
        <w:tc>
          <w:tcPr>
            <w:tcW w:w="2340" w:type="dxa"/>
            <w:shd w:val="clear" w:color="auto" w:fill="1F3864"/>
            <w:tcMar>
              <w:top w:w="80" w:type="dxa"/>
              <w:left w:w="120" w:type="dxa"/>
              <w:bottom w:w="80" w:type="dxa"/>
              <w:right w:w="120" w:type="dxa"/>
            </w:tcMar>
          </w:tcPr>
          <w:p w14:paraId="17B5F241" w14:textId="77777777" w:rsidR="003A2DE4" w:rsidRDefault="00000000">
            <w:pPr>
              <w:spacing w:before="60" w:after="60"/>
            </w:pPr>
            <w:r>
              <w:rPr>
                <w:rFonts w:ascii="Arial" w:eastAsia="Arial" w:hAnsi="Arial" w:cs="Arial"/>
                <w:b/>
                <w:bCs/>
                <w:color w:val="FFFFFF"/>
                <w:sz w:val="22"/>
                <w:szCs w:val="22"/>
              </w:rPr>
              <w:t>Role</w:t>
            </w:r>
          </w:p>
        </w:tc>
        <w:tc>
          <w:tcPr>
            <w:tcW w:w="2340" w:type="dxa"/>
            <w:shd w:val="clear" w:color="auto" w:fill="1F3864"/>
            <w:tcMar>
              <w:top w:w="80" w:type="dxa"/>
              <w:left w:w="120" w:type="dxa"/>
              <w:bottom w:w="80" w:type="dxa"/>
              <w:right w:w="120" w:type="dxa"/>
            </w:tcMar>
          </w:tcPr>
          <w:p w14:paraId="3A1B63DB" w14:textId="77777777" w:rsidR="003A2DE4" w:rsidRDefault="00000000">
            <w:pPr>
              <w:spacing w:before="60" w:after="60"/>
            </w:pPr>
            <w:r>
              <w:rPr>
                <w:rFonts w:ascii="Arial" w:eastAsia="Arial" w:hAnsi="Arial" w:cs="Arial"/>
                <w:b/>
                <w:bCs/>
                <w:color w:val="FFFFFF"/>
                <w:sz w:val="22"/>
                <w:szCs w:val="22"/>
              </w:rPr>
              <w:t>Name</w:t>
            </w:r>
          </w:p>
        </w:tc>
        <w:tc>
          <w:tcPr>
            <w:tcW w:w="2340" w:type="dxa"/>
            <w:shd w:val="clear" w:color="auto" w:fill="1F3864"/>
            <w:tcMar>
              <w:top w:w="80" w:type="dxa"/>
              <w:left w:w="120" w:type="dxa"/>
              <w:bottom w:w="80" w:type="dxa"/>
              <w:right w:w="120" w:type="dxa"/>
            </w:tcMar>
          </w:tcPr>
          <w:p w14:paraId="47D2A3E5" w14:textId="77777777" w:rsidR="003A2DE4" w:rsidRDefault="00000000">
            <w:pPr>
              <w:spacing w:before="60" w:after="60"/>
            </w:pPr>
            <w:r>
              <w:rPr>
                <w:rFonts w:ascii="Arial" w:eastAsia="Arial" w:hAnsi="Arial" w:cs="Arial"/>
                <w:b/>
                <w:bCs/>
                <w:color w:val="FFFFFF"/>
                <w:sz w:val="22"/>
                <w:szCs w:val="22"/>
              </w:rPr>
              <w:t>Recommend</w:t>
            </w:r>
          </w:p>
        </w:tc>
        <w:tc>
          <w:tcPr>
            <w:tcW w:w="2340" w:type="dxa"/>
            <w:shd w:val="clear" w:color="auto" w:fill="1F3864"/>
            <w:tcMar>
              <w:top w:w="80" w:type="dxa"/>
              <w:left w:w="120" w:type="dxa"/>
              <w:bottom w:w="80" w:type="dxa"/>
              <w:right w:w="120" w:type="dxa"/>
            </w:tcMar>
          </w:tcPr>
          <w:p w14:paraId="76E67223" w14:textId="77777777" w:rsidR="003A2DE4" w:rsidRDefault="00000000">
            <w:pPr>
              <w:spacing w:before="60" w:after="60"/>
            </w:pPr>
            <w:r>
              <w:rPr>
                <w:rFonts w:ascii="Arial" w:eastAsia="Arial" w:hAnsi="Arial" w:cs="Arial"/>
                <w:b/>
                <w:bCs/>
                <w:color w:val="FFFFFF"/>
                <w:sz w:val="22"/>
                <w:szCs w:val="22"/>
              </w:rPr>
              <w:t>Add-On Interest</w:t>
            </w:r>
          </w:p>
        </w:tc>
      </w:tr>
      <w:tr w:rsidR="003A2DE4" w14:paraId="69A05009" w14:textId="77777777">
        <w:tblPrEx>
          <w:tblCellMar>
            <w:top w:w="0" w:type="dxa"/>
            <w:bottom w:w="0" w:type="dxa"/>
          </w:tblCellMar>
        </w:tblPrEx>
        <w:tc>
          <w:tcPr>
            <w:tcW w:w="2340" w:type="dxa"/>
            <w:shd w:val="clear" w:color="auto" w:fill="FFFFFF"/>
            <w:tcMar>
              <w:top w:w="80" w:type="dxa"/>
              <w:left w:w="120" w:type="dxa"/>
              <w:bottom w:w="80" w:type="dxa"/>
              <w:right w:w="120" w:type="dxa"/>
            </w:tcMar>
          </w:tcPr>
          <w:p w14:paraId="30325BB9" w14:textId="77777777" w:rsidR="003A2DE4" w:rsidRDefault="00000000">
            <w:pPr>
              <w:spacing w:before="60" w:after="60"/>
            </w:pPr>
            <w:r>
              <w:rPr>
                <w:rFonts w:ascii="Arial" w:eastAsia="Arial" w:hAnsi="Arial" w:cs="Arial"/>
                <w:color w:val="000000"/>
                <w:sz w:val="22"/>
                <w:szCs w:val="22"/>
              </w:rPr>
              <w:t>DD Committee Chair</w:t>
            </w:r>
          </w:p>
        </w:tc>
        <w:tc>
          <w:tcPr>
            <w:tcW w:w="2340" w:type="dxa"/>
            <w:shd w:val="clear" w:color="auto" w:fill="FFFFFF"/>
            <w:tcMar>
              <w:top w:w="80" w:type="dxa"/>
              <w:left w:w="120" w:type="dxa"/>
              <w:bottom w:w="80" w:type="dxa"/>
              <w:right w:w="120" w:type="dxa"/>
            </w:tcMar>
          </w:tcPr>
          <w:p w14:paraId="16F5A13A" w14:textId="77777777" w:rsidR="003A2DE4" w:rsidRDefault="00000000">
            <w:pPr>
              <w:spacing w:before="60" w:after="60"/>
            </w:pPr>
            <w:r>
              <w:rPr>
                <w:rFonts w:ascii="Arial" w:eastAsia="Arial" w:hAnsi="Arial" w:cs="Arial"/>
                <w:color w:val="000000"/>
                <w:sz w:val="22"/>
                <w:szCs w:val="22"/>
              </w:rPr>
              <w:t>[TO BE CONFIRMED]</w:t>
            </w:r>
          </w:p>
        </w:tc>
        <w:tc>
          <w:tcPr>
            <w:tcW w:w="2340" w:type="dxa"/>
            <w:shd w:val="clear" w:color="auto" w:fill="FFFFFF"/>
            <w:tcMar>
              <w:top w:w="80" w:type="dxa"/>
              <w:left w:w="120" w:type="dxa"/>
              <w:bottom w:w="80" w:type="dxa"/>
              <w:right w:w="120" w:type="dxa"/>
            </w:tcMar>
          </w:tcPr>
          <w:p w14:paraId="6836F074" w14:textId="77777777" w:rsidR="003A2DE4" w:rsidRDefault="00000000">
            <w:pPr>
              <w:spacing w:before="60" w:after="60"/>
            </w:pPr>
            <w:r>
              <w:rPr>
                <w:rFonts w:ascii="Arial" w:eastAsia="Arial" w:hAnsi="Arial" w:cs="Arial"/>
                <w:color w:val="000000"/>
                <w:sz w:val="22"/>
                <w:szCs w:val="22"/>
              </w:rPr>
              <w:t>TBD</w:t>
            </w:r>
          </w:p>
        </w:tc>
        <w:tc>
          <w:tcPr>
            <w:tcW w:w="2340" w:type="dxa"/>
            <w:shd w:val="clear" w:color="auto" w:fill="FFFFFF"/>
            <w:tcMar>
              <w:top w:w="80" w:type="dxa"/>
              <w:left w:w="120" w:type="dxa"/>
              <w:bottom w:w="80" w:type="dxa"/>
              <w:right w:w="120" w:type="dxa"/>
            </w:tcMar>
          </w:tcPr>
          <w:p w14:paraId="1EB38FCC" w14:textId="77777777" w:rsidR="003A2DE4" w:rsidRDefault="00000000">
            <w:pPr>
              <w:spacing w:before="60" w:after="60"/>
            </w:pPr>
            <w:r>
              <w:rPr>
                <w:rFonts w:ascii="Arial" w:eastAsia="Arial" w:hAnsi="Arial" w:cs="Arial"/>
                <w:color w:val="000000"/>
                <w:sz w:val="22"/>
                <w:szCs w:val="22"/>
              </w:rPr>
              <w:t>TBD</w:t>
            </w:r>
          </w:p>
        </w:tc>
      </w:tr>
      <w:tr w:rsidR="003A2DE4" w14:paraId="613A4D96" w14:textId="77777777">
        <w:tblPrEx>
          <w:tblCellMar>
            <w:top w:w="0" w:type="dxa"/>
            <w:bottom w:w="0" w:type="dxa"/>
          </w:tblCellMar>
        </w:tblPrEx>
        <w:tc>
          <w:tcPr>
            <w:tcW w:w="2340" w:type="dxa"/>
            <w:shd w:val="clear" w:color="auto" w:fill="F4F4F4"/>
            <w:tcMar>
              <w:top w:w="80" w:type="dxa"/>
              <w:left w:w="120" w:type="dxa"/>
              <w:bottom w:w="80" w:type="dxa"/>
              <w:right w:w="120" w:type="dxa"/>
            </w:tcMar>
          </w:tcPr>
          <w:p w14:paraId="462B5BAF" w14:textId="77777777" w:rsidR="003A2DE4" w:rsidRDefault="00000000">
            <w:pPr>
              <w:spacing w:before="60" w:after="60"/>
            </w:pPr>
            <w:r>
              <w:rPr>
                <w:rFonts w:ascii="Arial" w:eastAsia="Arial" w:hAnsi="Arial" w:cs="Arial"/>
                <w:color w:val="000000"/>
                <w:sz w:val="22"/>
                <w:szCs w:val="22"/>
              </w:rPr>
              <w:t>DD Lead</w:t>
            </w:r>
          </w:p>
        </w:tc>
        <w:tc>
          <w:tcPr>
            <w:tcW w:w="2340" w:type="dxa"/>
            <w:shd w:val="clear" w:color="auto" w:fill="F4F4F4"/>
            <w:tcMar>
              <w:top w:w="80" w:type="dxa"/>
              <w:left w:w="120" w:type="dxa"/>
              <w:bottom w:w="80" w:type="dxa"/>
              <w:right w:w="120" w:type="dxa"/>
            </w:tcMar>
          </w:tcPr>
          <w:p w14:paraId="0869306E" w14:textId="77777777" w:rsidR="003A2DE4" w:rsidRDefault="00000000">
            <w:pPr>
              <w:spacing w:before="60" w:after="60"/>
            </w:pPr>
            <w:r>
              <w:rPr>
                <w:rFonts w:ascii="Arial" w:eastAsia="Arial" w:hAnsi="Arial" w:cs="Arial"/>
                <w:color w:val="000000"/>
                <w:sz w:val="22"/>
                <w:szCs w:val="22"/>
              </w:rPr>
              <w:t>[TO BE CONFIRMED]</w:t>
            </w:r>
          </w:p>
        </w:tc>
        <w:tc>
          <w:tcPr>
            <w:tcW w:w="2340" w:type="dxa"/>
            <w:shd w:val="clear" w:color="auto" w:fill="F4F4F4"/>
            <w:tcMar>
              <w:top w:w="80" w:type="dxa"/>
              <w:left w:w="120" w:type="dxa"/>
              <w:bottom w:w="80" w:type="dxa"/>
              <w:right w:w="120" w:type="dxa"/>
            </w:tcMar>
          </w:tcPr>
          <w:p w14:paraId="467395FF" w14:textId="77777777" w:rsidR="003A2DE4" w:rsidRDefault="00000000">
            <w:pPr>
              <w:spacing w:before="60" w:after="60"/>
            </w:pPr>
            <w:r>
              <w:rPr>
                <w:rFonts w:ascii="Arial" w:eastAsia="Arial" w:hAnsi="Arial" w:cs="Arial"/>
                <w:color w:val="000000"/>
                <w:sz w:val="22"/>
                <w:szCs w:val="22"/>
              </w:rPr>
              <w:t>TBD</w:t>
            </w:r>
          </w:p>
        </w:tc>
        <w:tc>
          <w:tcPr>
            <w:tcW w:w="2340" w:type="dxa"/>
            <w:shd w:val="clear" w:color="auto" w:fill="F4F4F4"/>
            <w:tcMar>
              <w:top w:w="80" w:type="dxa"/>
              <w:left w:w="120" w:type="dxa"/>
              <w:bottom w:w="80" w:type="dxa"/>
              <w:right w:w="120" w:type="dxa"/>
            </w:tcMar>
          </w:tcPr>
          <w:p w14:paraId="5B4E2DA7" w14:textId="77777777" w:rsidR="003A2DE4" w:rsidRDefault="00000000">
            <w:pPr>
              <w:spacing w:before="60" w:after="60"/>
            </w:pPr>
            <w:r>
              <w:rPr>
                <w:rFonts w:ascii="Arial" w:eastAsia="Arial" w:hAnsi="Arial" w:cs="Arial"/>
                <w:color w:val="000000"/>
                <w:sz w:val="22"/>
                <w:szCs w:val="22"/>
              </w:rPr>
              <w:t>TBD</w:t>
            </w:r>
          </w:p>
        </w:tc>
      </w:tr>
      <w:tr w:rsidR="003A2DE4" w14:paraId="05E8B549" w14:textId="77777777">
        <w:tblPrEx>
          <w:tblCellMar>
            <w:top w:w="0" w:type="dxa"/>
            <w:bottom w:w="0" w:type="dxa"/>
          </w:tblCellMar>
        </w:tblPrEx>
        <w:tc>
          <w:tcPr>
            <w:tcW w:w="2340" w:type="dxa"/>
            <w:shd w:val="clear" w:color="auto" w:fill="FFFFFF"/>
            <w:tcMar>
              <w:top w:w="80" w:type="dxa"/>
              <w:left w:w="120" w:type="dxa"/>
              <w:bottom w:w="80" w:type="dxa"/>
              <w:right w:w="120" w:type="dxa"/>
            </w:tcMar>
          </w:tcPr>
          <w:p w14:paraId="14BF5F3E" w14:textId="77777777" w:rsidR="003A2DE4" w:rsidRDefault="00000000">
            <w:pPr>
              <w:spacing w:before="60" w:after="60"/>
            </w:pPr>
            <w:r>
              <w:rPr>
                <w:rFonts w:ascii="Arial" w:eastAsia="Arial" w:hAnsi="Arial" w:cs="Arial"/>
                <w:color w:val="000000"/>
                <w:sz w:val="22"/>
                <w:szCs w:val="22"/>
              </w:rPr>
              <w:t>DD Member</w:t>
            </w:r>
          </w:p>
        </w:tc>
        <w:tc>
          <w:tcPr>
            <w:tcW w:w="2340" w:type="dxa"/>
            <w:shd w:val="clear" w:color="auto" w:fill="FFFFFF"/>
            <w:tcMar>
              <w:top w:w="80" w:type="dxa"/>
              <w:left w:w="120" w:type="dxa"/>
              <w:bottom w:w="80" w:type="dxa"/>
              <w:right w:w="120" w:type="dxa"/>
            </w:tcMar>
          </w:tcPr>
          <w:p w14:paraId="0CB588A5" w14:textId="77777777" w:rsidR="003A2DE4" w:rsidRDefault="00000000">
            <w:pPr>
              <w:spacing w:before="60" w:after="60"/>
            </w:pPr>
            <w:r>
              <w:rPr>
                <w:rFonts w:ascii="Arial" w:eastAsia="Arial" w:hAnsi="Arial" w:cs="Arial"/>
                <w:color w:val="000000"/>
                <w:sz w:val="22"/>
                <w:szCs w:val="22"/>
              </w:rPr>
              <w:t>[TO BE CONFIRMED]</w:t>
            </w:r>
          </w:p>
        </w:tc>
        <w:tc>
          <w:tcPr>
            <w:tcW w:w="2340" w:type="dxa"/>
            <w:shd w:val="clear" w:color="auto" w:fill="FFFFFF"/>
            <w:tcMar>
              <w:top w:w="80" w:type="dxa"/>
              <w:left w:w="120" w:type="dxa"/>
              <w:bottom w:w="80" w:type="dxa"/>
              <w:right w:w="120" w:type="dxa"/>
            </w:tcMar>
          </w:tcPr>
          <w:p w14:paraId="2B47E17B" w14:textId="77777777" w:rsidR="003A2DE4" w:rsidRDefault="00000000">
            <w:pPr>
              <w:spacing w:before="60" w:after="60"/>
            </w:pPr>
            <w:r>
              <w:rPr>
                <w:rFonts w:ascii="Arial" w:eastAsia="Arial" w:hAnsi="Arial" w:cs="Arial"/>
                <w:color w:val="000000"/>
                <w:sz w:val="22"/>
                <w:szCs w:val="22"/>
              </w:rPr>
              <w:t>TBD</w:t>
            </w:r>
          </w:p>
        </w:tc>
        <w:tc>
          <w:tcPr>
            <w:tcW w:w="2340" w:type="dxa"/>
            <w:shd w:val="clear" w:color="auto" w:fill="FFFFFF"/>
            <w:tcMar>
              <w:top w:w="80" w:type="dxa"/>
              <w:left w:w="120" w:type="dxa"/>
              <w:bottom w:w="80" w:type="dxa"/>
              <w:right w:w="120" w:type="dxa"/>
            </w:tcMar>
          </w:tcPr>
          <w:p w14:paraId="7FA206B8" w14:textId="77777777" w:rsidR="003A2DE4" w:rsidRDefault="00000000">
            <w:pPr>
              <w:spacing w:before="60" w:after="60"/>
            </w:pPr>
            <w:r>
              <w:rPr>
                <w:rFonts w:ascii="Arial" w:eastAsia="Arial" w:hAnsi="Arial" w:cs="Arial"/>
                <w:color w:val="000000"/>
                <w:sz w:val="22"/>
                <w:szCs w:val="22"/>
              </w:rPr>
              <w:t>TBD</w:t>
            </w:r>
          </w:p>
        </w:tc>
      </w:tr>
      <w:tr w:rsidR="003A2DE4" w14:paraId="1F0F54C0" w14:textId="77777777">
        <w:tblPrEx>
          <w:tblCellMar>
            <w:top w:w="0" w:type="dxa"/>
            <w:bottom w:w="0" w:type="dxa"/>
          </w:tblCellMar>
        </w:tblPrEx>
        <w:tc>
          <w:tcPr>
            <w:tcW w:w="2340" w:type="dxa"/>
            <w:shd w:val="clear" w:color="auto" w:fill="F4F4F4"/>
            <w:tcMar>
              <w:top w:w="80" w:type="dxa"/>
              <w:left w:w="120" w:type="dxa"/>
              <w:bottom w:w="80" w:type="dxa"/>
              <w:right w:w="120" w:type="dxa"/>
            </w:tcMar>
          </w:tcPr>
          <w:p w14:paraId="4B7F6F56" w14:textId="77777777" w:rsidR="003A2DE4" w:rsidRDefault="00000000">
            <w:pPr>
              <w:spacing w:before="60" w:after="60"/>
            </w:pPr>
            <w:r>
              <w:rPr>
                <w:rFonts w:ascii="Arial" w:eastAsia="Arial" w:hAnsi="Arial" w:cs="Arial"/>
                <w:color w:val="000000"/>
                <w:sz w:val="22"/>
                <w:szCs w:val="22"/>
              </w:rPr>
              <w:t>DD Member</w:t>
            </w:r>
          </w:p>
        </w:tc>
        <w:tc>
          <w:tcPr>
            <w:tcW w:w="2340" w:type="dxa"/>
            <w:shd w:val="clear" w:color="auto" w:fill="F4F4F4"/>
            <w:tcMar>
              <w:top w:w="80" w:type="dxa"/>
              <w:left w:w="120" w:type="dxa"/>
              <w:bottom w:w="80" w:type="dxa"/>
              <w:right w:w="120" w:type="dxa"/>
            </w:tcMar>
          </w:tcPr>
          <w:p w14:paraId="72DF0A75" w14:textId="77777777" w:rsidR="003A2DE4" w:rsidRDefault="00000000">
            <w:pPr>
              <w:spacing w:before="60" w:after="60"/>
            </w:pPr>
            <w:r>
              <w:rPr>
                <w:rFonts w:ascii="Arial" w:eastAsia="Arial" w:hAnsi="Arial" w:cs="Arial"/>
                <w:color w:val="000000"/>
                <w:sz w:val="22"/>
                <w:szCs w:val="22"/>
              </w:rPr>
              <w:t>[TO BE CONFIRMED]</w:t>
            </w:r>
          </w:p>
        </w:tc>
        <w:tc>
          <w:tcPr>
            <w:tcW w:w="2340" w:type="dxa"/>
            <w:shd w:val="clear" w:color="auto" w:fill="F4F4F4"/>
            <w:tcMar>
              <w:top w:w="80" w:type="dxa"/>
              <w:left w:w="120" w:type="dxa"/>
              <w:bottom w:w="80" w:type="dxa"/>
              <w:right w:w="120" w:type="dxa"/>
            </w:tcMar>
          </w:tcPr>
          <w:p w14:paraId="71A130FF" w14:textId="77777777" w:rsidR="003A2DE4" w:rsidRDefault="00000000">
            <w:pPr>
              <w:spacing w:before="60" w:after="60"/>
            </w:pPr>
            <w:r>
              <w:rPr>
                <w:rFonts w:ascii="Arial" w:eastAsia="Arial" w:hAnsi="Arial" w:cs="Arial"/>
                <w:color w:val="000000"/>
                <w:sz w:val="22"/>
                <w:szCs w:val="22"/>
              </w:rPr>
              <w:t>TBD</w:t>
            </w:r>
          </w:p>
        </w:tc>
        <w:tc>
          <w:tcPr>
            <w:tcW w:w="2340" w:type="dxa"/>
            <w:shd w:val="clear" w:color="auto" w:fill="F4F4F4"/>
            <w:tcMar>
              <w:top w:w="80" w:type="dxa"/>
              <w:left w:w="120" w:type="dxa"/>
              <w:bottom w:w="80" w:type="dxa"/>
              <w:right w:w="120" w:type="dxa"/>
            </w:tcMar>
          </w:tcPr>
          <w:p w14:paraId="4FE1A8A3" w14:textId="77777777" w:rsidR="003A2DE4" w:rsidRDefault="00000000">
            <w:pPr>
              <w:spacing w:before="60" w:after="60"/>
            </w:pPr>
            <w:r>
              <w:rPr>
                <w:rFonts w:ascii="Arial" w:eastAsia="Arial" w:hAnsi="Arial" w:cs="Arial"/>
                <w:color w:val="000000"/>
                <w:sz w:val="22"/>
                <w:szCs w:val="22"/>
              </w:rPr>
              <w:t>TBD</w:t>
            </w:r>
          </w:p>
        </w:tc>
      </w:tr>
    </w:tbl>
    <w:p w14:paraId="2A3313EE" w14:textId="77777777" w:rsidR="003A2DE4" w:rsidRDefault="003A2DE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160"/>
        <w:gridCol w:w="1800"/>
        <w:gridCol w:w="1400"/>
      </w:tblGrid>
      <w:tr w:rsidR="003A2DE4" w14:paraId="326E8649" w14:textId="77777777">
        <w:tblPrEx>
          <w:tblCellMar>
            <w:top w:w="0" w:type="dxa"/>
            <w:bottom w:w="0" w:type="dxa"/>
          </w:tblCellMar>
        </w:tblPrEx>
        <w:tc>
          <w:tcPr>
            <w:tcW w:w="9360" w:type="dxa"/>
            <w:gridSpan w:val="4"/>
            <w:shd w:val="clear" w:color="auto" w:fill="1F3864"/>
            <w:tcMar>
              <w:top w:w="80" w:type="dxa"/>
              <w:left w:w="140" w:type="dxa"/>
              <w:bottom w:w="80" w:type="dxa"/>
              <w:right w:w="140" w:type="dxa"/>
            </w:tcMar>
          </w:tcPr>
          <w:p w14:paraId="0490648F" w14:textId="77777777" w:rsidR="003A2DE4" w:rsidRDefault="00000000">
            <w:pPr>
              <w:spacing w:before="60" w:after="60"/>
            </w:pPr>
            <w:r>
              <w:rPr>
                <w:rFonts w:ascii="Arial" w:eastAsia="Arial" w:hAnsi="Arial" w:cs="Arial"/>
                <w:b/>
                <w:bCs/>
                <w:color w:val="FFFFFF"/>
                <w:sz w:val="22"/>
                <w:szCs w:val="22"/>
              </w:rPr>
              <w:t>APPENDIX A — OUTSTANDING DILIGENCE ITEMS</w:t>
            </w:r>
          </w:p>
        </w:tc>
      </w:tr>
      <w:tr w:rsidR="003A2DE4" w14:paraId="4AD184DD" w14:textId="77777777">
        <w:tblPrEx>
          <w:tblCellMar>
            <w:top w:w="0" w:type="dxa"/>
            <w:bottom w:w="0" w:type="dxa"/>
          </w:tblCellMar>
        </w:tblPrEx>
        <w:tc>
          <w:tcPr>
            <w:tcW w:w="2000" w:type="dxa"/>
            <w:shd w:val="clear" w:color="auto" w:fill="1F3864"/>
            <w:tcMar>
              <w:top w:w="80" w:type="dxa"/>
              <w:left w:w="120" w:type="dxa"/>
              <w:bottom w:w="80" w:type="dxa"/>
              <w:right w:w="120" w:type="dxa"/>
            </w:tcMar>
          </w:tcPr>
          <w:p w14:paraId="55226B2C" w14:textId="77777777" w:rsidR="003A2DE4" w:rsidRDefault="00000000">
            <w:pPr>
              <w:spacing w:before="60" w:after="60"/>
            </w:pPr>
            <w:r>
              <w:rPr>
                <w:rFonts w:ascii="Arial" w:eastAsia="Arial" w:hAnsi="Arial" w:cs="Arial"/>
                <w:b/>
                <w:bCs/>
                <w:color w:val="FFFFFF"/>
                <w:sz w:val="22"/>
                <w:szCs w:val="22"/>
              </w:rPr>
              <w:t>DD Folder / Item</w:t>
            </w:r>
          </w:p>
        </w:tc>
        <w:tc>
          <w:tcPr>
            <w:tcW w:w="4160" w:type="dxa"/>
            <w:shd w:val="clear" w:color="auto" w:fill="1F3864"/>
            <w:tcMar>
              <w:top w:w="80" w:type="dxa"/>
              <w:left w:w="120" w:type="dxa"/>
              <w:bottom w:w="80" w:type="dxa"/>
              <w:right w:w="120" w:type="dxa"/>
            </w:tcMar>
          </w:tcPr>
          <w:p w14:paraId="247649DB" w14:textId="77777777" w:rsidR="003A2DE4" w:rsidRDefault="00000000">
            <w:pPr>
              <w:spacing w:before="60" w:after="60"/>
            </w:pPr>
            <w:r>
              <w:rPr>
                <w:rFonts w:ascii="Arial" w:eastAsia="Arial" w:hAnsi="Arial" w:cs="Arial"/>
                <w:b/>
                <w:bCs/>
                <w:color w:val="FFFFFF"/>
                <w:sz w:val="22"/>
                <w:szCs w:val="22"/>
              </w:rPr>
              <w:t>Action Required</w:t>
            </w:r>
          </w:p>
        </w:tc>
        <w:tc>
          <w:tcPr>
            <w:tcW w:w="1800" w:type="dxa"/>
            <w:shd w:val="clear" w:color="auto" w:fill="1F3864"/>
            <w:tcMar>
              <w:top w:w="80" w:type="dxa"/>
              <w:left w:w="120" w:type="dxa"/>
              <w:bottom w:w="80" w:type="dxa"/>
              <w:right w:w="120" w:type="dxa"/>
            </w:tcMar>
          </w:tcPr>
          <w:p w14:paraId="68FC2C59" w14:textId="77777777" w:rsidR="003A2DE4" w:rsidRDefault="00000000">
            <w:pPr>
              <w:spacing w:before="60" w:after="60"/>
            </w:pPr>
            <w:r>
              <w:rPr>
                <w:rFonts w:ascii="Arial" w:eastAsia="Arial" w:hAnsi="Arial" w:cs="Arial"/>
                <w:b/>
                <w:bCs/>
                <w:color w:val="FFFFFF"/>
                <w:sz w:val="22"/>
                <w:szCs w:val="22"/>
              </w:rPr>
              <w:t>Owner</w:t>
            </w:r>
          </w:p>
        </w:tc>
        <w:tc>
          <w:tcPr>
            <w:tcW w:w="1400" w:type="dxa"/>
            <w:shd w:val="clear" w:color="auto" w:fill="1F3864"/>
            <w:tcMar>
              <w:top w:w="80" w:type="dxa"/>
              <w:left w:w="120" w:type="dxa"/>
              <w:bottom w:w="80" w:type="dxa"/>
              <w:right w:w="120" w:type="dxa"/>
            </w:tcMar>
          </w:tcPr>
          <w:p w14:paraId="2D3E51B6" w14:textId="77777777" w:rsidR="003A2DE4" w:rsidRDefault="00000000">
            <w:pPr>
              <w:spacing w:before="60" w:after="60"/>
            </w:pPr>
            <w:r>
              <w:rPr>
                <w:rFonts w:ascii="Arial" w:eastAsia="Arial" w:hAnsi="Arial" w:cs="Arial"/>
                <w:b/>
                <w:bCs/>
                <w:color w:val="FFFFFF"/>
                <w:sz w:val="22"/>
                <w:szCs w:val="22"/>
              </w:rPr>
              <w:t>Priority</w:t>
            </w:r>
          </w:p>
        </w:tc>
      </w:tr>
      <w:tr w:rsidR="003A2DE4" w14:paraId="7D4125EC" w14:textId="77777777">
        <w:tblPrEx>
          <w:tblCellMar>
            <w:top w:w="0" w:type="dxa"/>
            <w:bottom w:w="0" w:type="dxa"/>
          </w:tblCellMar>
        </w:tblPrEx>
        <w:tc>
          <w:tcPr>
            <w:tcW w:w="2000" w:type="dxa"/>
            <w:shd w:val="clear" w:color="auto" w:fill="FFD7D7"/>
            <w:tcMar>
              <w:top w:w="80" w:type="dxa"/>
              <w:left w:w="120" w:type="dxa"/>
              <w:bottom w:w="80" w:type="dxa"/>
              <w:right w:w="120" w:type="dxa"/>
            </w:tcMar>
          </w:tcPr>
          <w:p w14:paraId="62E2F2A4" w14:textId="77777777" w:rsidR="003A2DE4" w:rsidRDefault="00000000">
            <w:pPr>
              <w:spacing w:before="60" w:after="60"/>
            </w:pPr>
            <w:r>
              <w:rPr>
                <w:rFonts w:ascii="Arial" w:eastAsia="Arial" w:hAnsi="Arial" w:cs="Arial"/>
                <w:color w:val="000000"/>
                <w:sz w:val="22"/>
                <w:szCs w:val="22"/>
              </w:rPr>
              <w:t>Entity Structure — C-Corp Conversion</w:t>
            </w:r>
          </w:p>
        </w:tc>
        <w:tc>
          <w:tcPr>
            <w:tcW w:w="4160" w:type="dxa"/>
            <w:shd w:val="clear" w:color="auto" w:fill="FFD7D7"/>
            <w:tcMar>
              <w:top w:w="80" w:type="dxa"/>
              <w:left w:w="120" w:type="dxa"/>
              <w:bottom w:w="80" w:type="dxa"/>
              <w:right w:w="120" w:type="dxa"/>
            </w:tcMar>
          </w:tcPr>
          <w:p w14:paraId="37836E0C" w14:textId="77777777" w:rsidR="003A2DE4" w:rsidRDefault="00000000">
            <w:pPr>
              <w:spacing w:before="60" w:after="60"/>
            </w:pPr>
            <w:r>
              <w:rPr>
                <w:rFonts w:ascii="Arial" w:eastAsia="Arial" w:hAnsi="Arial" w:cs="Arial"/>
                <w:color w:val="000000"/>
                <w:sz w:val="22"/>
                <w:szCs w:val="22"/>
              </w:rPr>
              <w:t>Confirm legal plan, timeline, and counsel engaged; conversion executed or irrevocably committed before NWAi term sheet</w:t>
            </w:r>
          </w:p>
        </w:tc>
        <w:tc>
          <w:tcPr>
            <w:tcW w:w="1800" w:type="dxa"/>
            <w:shd w:val="clear" w:color="auto" w:fill="FFD7D7"/>
            <w:tcMar>
              <w:top w:w="80" w:type="dxa"/>
              <w:left w:w="120" w:type="dxa"/>
              <w:bottom w:w="80" w:type="dxa"/>
              <w:right w:w="120" w:type="dxa"/>
            </w:tcMar>
          </w:tcPr>
          <w:p w14:paraId="48218E7D" w14:textId="77777777" w:rsidR="003A2DE4" w:rsidRDefault="00000000">
            <w:pPr>
              <w:spacing w:before="60" w:after="60"/>
            </w:pPr>
            <w:r>
              <w:rPr>
                <w:rFonts w:ascii="Arial" w:eastAsia="Arial" w:hAnsi="Arial" w:cs="Arial"/>
                <w:color w:val="000000"/>
                <w:sz w:val="22"/>
                <w:szCs w:val="22"/>
              </w:rPr>
              <w:t>TBD — Pending Dealum API</w:t>
            </w:r>
          </w:p>
        </w:tc>
        <w:tc>
          <w:tcPr>
            <w:tcW w:w="1400" w:type="dxa"/>
            <w:shd w:val="clear" w:color="auto" w:fill="FFD7D7"/>
            <w:tcMar>
              <w:top w:w="80" w:type="dxa"/>
              <w:left w:w="120" w:type="dxa"/>
              <w:bottom w:w="80" w:type="dxa"/>
              <w:right w:w="120" w:type="dxa"/>
            </w:tcMar>
          </w:tcPr>
          <w:p w14:paraId="4A6419DE" w14:textId="77777777" w:rsidR="003A2DE4" w:rsidRDefault="00000000">
            <w:pPr>
              <w:spacing w:before="60" w:after="60"/>
            </w:pPr>
            <w:r>
              <w:rPr>
                <w:rFonts w:ascii="Arial" w:eastAsia="Arial" w:hAnsi="Arial" w:cs="Arial"/>
                <w:color w:val="000000"/>
                <w:sz w:val="22"/>
                <w:szCs w:val="22"/>
              </w:rPr>
              <w:t>GATE ❌</w:t>
            </w:r>
          </w:p>
        </w:tc>
      </w:tr>
      <w:tr w:rsidR="003A2DE4" w14:paraId="437D6DDD" w14:textId="77777777">
        <w:tblPrEx>
          <w:tblCellMar>
            <w:top w:w="0" w:type="dxa"/>
            <w:bottom w:w="0" w:type="dxa"/>
          </w:tblCellMar>
        </w:tblPrEx>
        <w:tc>
          <w:tcPr>
            <w:tcW w:w="2000" w:type="dxa"/>
            <w:shd w:val="clear" w:color="auto" w:fill="FFD7D7"/>
            <w:tcMar>
              <w:top w:w="80" w:type="dxa"/>
              <w:left w:w="120" w:type="dxa"/>
              <w:bottom w:w="80" w:type="dxa"/>
              <w:right w:w="120" w:type="dxa"/>
            </w:tcMar>
          </w:tcPr>
          <w:p w14:paraId="4758CB7D" w14:textId="77777777" w:rsidR="003A2DE4" w:rsidRDefault="00000000">
            <w:pPr>
              <w:spacing w:before="60" w:after="60"/>
            </w:pPr>
            <w:r>
              <w:rPr>
                <w:rFonts w:ascii="Arial" w:eastAsia="Arial" w:hAnsi="Arial" w:cs="Arial"/>
                <w:color w:val="000000"/>
                <w:sz w:val="22"/>
                <w:szCs w:val="22"/>
              </w:rPr>
              <w:t>Round Structure — SAFE to Equity/Note</w:t>
            </w:r>
          </w:p>
        </w:tc>
        <w:tc>
          <w:tcPr>
            <w:tcW w:w="4160" w:type="dxa"/>
            <w:shd w:val="clear" w:color="auto" w:fill="FFD7D7"/>
            <w:tcMar>
              <w:top w:w="80" w:type="dxa"/>
              <w:left w:w="120" w:type="dxa"/>
              <w:bottom w:w="80" w:type="dxa"/>
              <w:right w:w="120" w:type="dxa"/>
            </w:tcMar>
          </w:tcPr>
          <w:p w14:paraId="348364E2" w14:textId="77777777" w:rsidR="003A2DE4" w:rsidRDefault="00000000">
            <w:pPr>
              <w:spacing w:before="60" w:after="60"/>
            </w:pPr>
            <w:r>
              <w:rPr>
                <w:rFonts w:ascii="Arial" w:eastAsia="Arial" w:hAnsi="Arial" w:cs="Arial"/>
                <w:color w:val="000000"/>
                <w:sz w:val="22"/>
                <w:szCs w:val="22"/>
              </w:rPr>
              <w:t>Obtain written confirmation from Brad Levine of convertible note or priced equity terms; no SAFE acceptable</w:t>
            </w:r>
          </w:p>
        </w:tc>
        <w:tc>
          <w:tcPr>
            <w:tcW w:w="1800" w:type="dxa"/>
            <w:shd w:val="clear" w:color="auto" w:fill="FFD7D7"/>
            <w:tcMar>
              <w:top w:w="80" w:type="dxa"/>
              <w:left w:w="120" w:type="dxa"/>
              <w:bottom w:w="80" w:type="dxa"/>
              <w:right w:w="120" w:type="dxa"/>
            </w:tcMar>
          </w:tcPr>
          <w:p w14:paraId="2FC21036" w14:textId="77777777" w:rsidR="003A2DE4" w:rsidRDefault="00000000">
            <w:pPr>
              <w:spacing w:before="60" w:after="60"/>
            </w:pPr>
            <w:r>
              <w:rPr>
                <w:rFonts w:ascii="Arial" w:eastAsia="Arial" w:hAnsi="Arial" w:cs="Arial"/>
                <w:color w:val="000000"/>
                <w:sz w:val="22"/>
                <w:szCs w:val="22"/>
              </w:rPr>
              <w:t>TBD — Pending Dealum API</w:t>
            </w:r>
          </w:p>
        </w:tc>
        <w:tc>
          <w:tcPr>
            <w:tcW w:w="1400" w:type="dxa"/>
            <w:shd w:val="clear" w:color="auto" w:fill="FFD7D7"/>
            <w:tcMar>
              <w:top w:w="80" w:type="dxa"/>
              <w:left w:w="120" w:type="dxa"/>
              <w:bottom w:w="80" w:type="dxa"/>
              <w:right w:w="120" w:type="dxa"/>
            </w:tcMar>
          </w:tcPr>
          <w:p w14:paraId="42F4C6DA" w14:textId="77777777" w:rsidR="003A2DE4" w:rsidRDefault="00000000">
            <w:pPr>
              <w:spacing w:before="60" w:after="60"/>
            </w:pPr>
            <w:r>
              <w:rPr>
                <w:rFonts w:ascii="Arial" w:eastAsia="Arial" w:hAnsi="Arial" w:cs="Arial"/>
                <w:color w:val="000000"/>
                <w:sz w:val="22"/>
                <w:szCs w:val="22"/>
              </w:rPr>
              <w:t>GATE ❌</w:t>
            </w:r>
          </w:p>
        </w:tc>
      </w:tr>
      <w:tr w:rsidR="003A2DE4" w14:paraId="6E8807CB" w14:textId="77777777">
        <w:tblPrEx>
          <w:tblCellMar>
            <w:top w:w="0" w:type="dxa"/>
            <w:bottom w:w="0" w:type="dxa"/>
          </w:tblCellMar>
        </w:tblPrEx>
        <w:tc>
          <w:tcPr>
            <w:tcW w:w="2000" w:type="dxa"/>
            <w:shd w:val="clear" w:color="auto" w:fill="FFD7D7"/>
            <w:tcMar>
              <w:top w:w="80" w:type="dxa"/>
              <w:left w:w="120" w:type="dxa"/>
              <w:bottom w:w="80" w:type="dxa"/>
              <w:right w:w="120" w:type="dxa"/>
            </w:tcMar>
          </w:tcPr>
          <w:p w14:paraId="3DEC9ADE" w14:textId="77777777" w:rsidR="003A2DE4" w:rsidRDefault="00000000">
            <w:pPr>
              <w:spacing w:before="60" w:after="60"/>
            </w:pPr>
            <w:r>
              <w:rPr>
                <w:rFonts w:ascii="Arial" w:eastAsia="Arial" w:hAnsi="Arial" w:cs="Arial"/>
                <w:color w:val="000000"/>
                <w:sz w:val="22"/>
                <w:szCs w:val="22"/>
              </w:rPr>
              <w:t>Revenue Discrepancy — Q1 Reconciliation</w:t>
            </w:r>
          </w:p>
        </w:tc>
        <w:tc>
          <w:tcPr>
            <w:tcW w:w="4160" w:type="dxa"/>
            <w:shd w:val="clear" w:color="auto" w:fill="FFD7D7"/>
            <w:tcMar>
              <w:top w:w="80" w:type="dxa"/>
              <w:left w:w="120" w:type="dxa"/>
              <w:bottom w:w="80" w:type="dxa"/>
              <w:right w:w="120" w:type="dxa"/>
            </w:tcMar>
          </w:tcPr>
          <w:p w14:paraId="38FDF97C" w14:textId="77777777" w:rsidR="003A2DE4" w:rsidRDefault="00000000">
            <w:pPr>
              <w:spacing w:before="60" w:after="60"/>
            </w:pPr>
            <w:r>
              <w:rPr>
                <w:rFonts w:ascii="Arial" w:eastAsia="Arial" w:hAnsi="Arial" w:cs="Arial"/>
                <w:color w:val="000000"/>
                <w:sz w:val="22"/>
                <w:szCs w:val="22"/>
              </w:rPr>
              <w:t>Reconcile pitch deck Q1 actual ($24,375) vs. budget xlsx Q1 ($1,530); require audited monthly revenue records from inception</w:t>
            </w:r>
          </w:p>
        </w:tc>
        <w:tc>
          <w:tcPr>
            <w:tcW w:w="1800" w:type="dxa"/>
            <w:shd w:val="clear" w:color="auto" w:fill="FFD7D7"/>
            <w:tcMar>
              <w:top w:w="80" w:type="dxa"/>
              <w:left w:w="120" w:type="dxa"/>
              <w:bottom w:w="80" w:type="dxa"/>
              <w:right w:w="120" w:type="dxa"/>
            </w:tcMar>
          </w:tcPr>
          <w:p w14:paraId="0258E4CA" w14:textId="77777777" w:rsidR="003A2DE4" w:rsidRDefault="00000000">
            <w:pPr>
              <w:spacing w:before="60" w:after="60"/>
            </w:pPr>
            <w:r>
              <w:rPr>
                <w:rFonts w:ascii="Arial" w:eastAsia="Arial" w:hAnsi="Arial" w:cs="Arial"/>
                <w:color w:val="000000"/>
                <w:sz w:val="22"/>
                <w:szCs w:val="22"/>
              </w:rPr>
              <w:t>TBD — Pending Dealum API</w:t>
            </w:r>
          </w:p>
        </w:tc>
        <w:tc>
          <w:tcPr>
            <w:tcW w:w="1400" w:type="dxa"/>
            <w:shd w:val="clear" w:color="auto" w:fill="FFD7D7"/>
            <w:tcMar>
              <w:top w:w="80" w:type="dxa"/>
              <w:left w:w="120" w:type="dxa"/>
              <w:bottom w:w="80" w:type="dxa"/>
              <w:right w:w="120" w:type="dxa"/>
            </w:tcMar>
          </w:tcPr>
          <w:p w14:paraId="274DCB96" w14:textId="77777777" w:rsidR="003A2DE4" w:rsidRDefault="00000000">
            <w:pPr>
              <w:spacing w:before="60" w:after="60"/>
            </w:pPr>
            <w:r>
              <w:rPr>
                <w:rFonts w:ascii="Arial" w:eastAsia="Arial" w:hAnsi="Arial" w:cs="Arial"/>
                <w:color w:val="000000"/>
                <w:sz w:val="22"/>
                <w:szCs w:val="22"/>
              </w:rPr>
              <w:t>GATE ❌</w:t>
            </w:r>
          </w:p>
        </w:tc>
      </w:tr>
      <w:tr w:rsidR="003A2DE4" w14:paraId="2F3F077B" w14:textId="77777777">
        <w:tblPrEx>
          <w:tblCellMar>
            <w:top w:w="0" w:type="dxa"/>
            <w:bottom w:w="0" w:type="dxa"/>
          </w:tblCellMar>
        </w:tblPrEx>
        <w:tc>
          <w:tcPr>
            <w:tcW w:w="2000" w:type="dxa"/>
            <w:shd w:val="clear" w:color="auto" w:fill="FFF3CD"/>
            <w:tcMar>
              <w:top w:w="80" w:type="dxa"/>
              <w:left w:w="120" w:type="dxa"/>
              <w:bottom w:w="80" w:type="dxa"/>
              <w:right w:w="120" w:type="dxa"/>
            </w:tcMar>
          </w:tcPr>
          <w:p w14:paraId="739FE078" w14:textId="77777777" w:rsidR="003A2DE4" w:rsidRDefault="00000000">
            <w:pPr>
              <w:spacing w:before="60" w:after="60"/>
            </w:pPr>
            <w:r>
              <w:rPr>
                <w:rFonts w:ascii="Arial" w:eastAsia="Arial" w:hAnsi="Arial" w:cs="Arial"/>
                <w:color w:val="000000"/>
                <w:sz w:val="22"/>
                <w:szCs w:val="22"/>
              </w:rPr>
              <w:t>CDW Reference Call</w:t>
            </w:r>
          </w:p>
        </w:tc>
        <w:tc>
          <w:tcPr>
            <w:tcW w:w="4160" w:type="dxa"/>
            <w:shd w:val="clear" w:color="auto" w:fill="FFF3CD"/>
            <w:tcMar>
              <w:top w:w="80" w:type="dxa"/>
              <w:left w:w="120" w:type="dxa"/>
              <w:bottom w:w="80" w:type="dxa"/>
              <w:right w:w="120" w:type="dxa"/>
            </w:tcMar>
          </w:tcPr>
          <w:p w14:paraId="577340D2" w14:textId="77777777" w:rsidR="003A2DE4" w:rsidRDefault="00000000">
            <w:pPr>
              <w:spacing w:before="60" w:after="60"/>
            </w:pPr>
            <w:r>
              <w:rPr>
                <w:rFonts w:ascii="Arial" w:eastAsia="Arial" w:hAnsi="Arial" w:cs="Arial"/>
                <w:color w:val="000000"/>
                <w:sz w:val="22"/>
                <w:szCs w:val="22"/>
              </w:rPr>
              <w:t>Direct call with CDW program lead to confirm $10–15M projection, activation timeline, SKU status, and minimum revenue commitment</w:t>
            </w:r>
          </w:p>
        </w:tc>
        <w:tc>
          <w:tcPr>
            <w:tcW w:w="1800" w:type="dxa"/>
            <w:shd w:val="clear" w:color="auto" w:fill="FFF3CD"/>
            <w:tcMar>
              <w:top w:w="80" w:type="dxa"/>
              <w:left w:w="120" w:type="dxa"/>
              <w:bottom w:w="80" w:type="dxa"/>
              <w:right w:w="120" w:type="dxa"/>
            </w:tcMar>
          </w:tcPr>
          <w:p w14:paraId="7B8AA169" w14:textId="77777777" w:rsidR="003A2DE4" w:rsidRDefault="00000000">
            <w:pPr>
              <w:spacing w:before="60" w:after="60"/>
            </w:pPr>
            <w:r>
              <w:rPr>
                <w:rFonts w:ascii="Arial" w:eastAsia="Arial" w:hAnsi="Arial" w:cs="Arial"/>
                <w:color w:val="000000"/>
                <w:sz w:val="22"/>
                <w:szCs w:val="22"/>
              </w:rPr>
              <w:t>TBD — Pending Dealum API</w:t>
            </w:r>
          </w:p>
        </w:tc>
        <w:tc>
          <w:tcPr>
            <w:tcW w:w="1400" w:type="dxa"/>
            <w:shd w:val="clear" w:color="auto" w:fill="FFF3CD"/>
            <w:tcMar>
              <w:top w:w="80" w:type="dxa"/>
              <w:left w:w="120" w:type="dxa"/>
              <w:bottom w:w="80" w:type="dxa"/>
              <w:right w:w="120" w:type="dxa"/>
            </w:tcMar>
          </w:tcPr>
          <w:p w14:paraId="105F3348" w14:textId="77777777" w:rsidR="003A2DE4" w:rsidRDefault="00000000">
            <w:pPr>
              <w:spacing w:before="60" w:after="60"/>
            </w:pPr>
            <w:r>
              <w:rPr>
                <w:rFonts w:ascii="Arial" w:eastAsia="Arial" w:hAnsi="Arial" w:cs="Arial"/>
                <w:color w:val="000000"/>
                <w:sz w:val="22"/>
                <w:szCs w:val="22"/>
              </w:rPr>
              <w:t>HIGH ⚠</w:t>
            </w:r>
          </w:p>
        </w:tc>
      </w:tr>
      <w:tr w:rsidR="003A2DE4" w14:paraId="6964256C" w14:textId="77777777">
        <w:tblPrEx>
          <w:tblCellMar>
            <w:top w:w="0" w:type="dxa"/>
            <w:bottom w:w="0" w:type="dxa"/>
          </w:tblCellMar>
        </w:tblPrEx>
        <w:tc>
          <w:tcPr>
            <w:tcW w:w="2000" w:type="dxa"/>
            <w:shd w:val="clear" w:color="auto" w:fill="FFF3CD"/>
            <w:tcMar>
              <w:top w:w="80" w:type="dxa"/>
              <w:left w:w="120" w:type="dxa"/>
              <w:bottom w:w="80" w:type="dxa"/>
              <w:right w:w="120" w:type="dxa"/>
            </w:tcMar>
          </w:tcPr>
          <w:p w14:paraId="200EC79C" w14:textId="77777777" w:rsidR="003A2DE4" w:rsidRDefault="00000000">
            <w:pPr>
              <w:spacing w:before="60" w:after="60"/>
            </w:pPr>
            <w:r>
              <w:rPr>
                <w:rFonts w:ascii="Arial" w:eastAsia="Arial" w:hAnsi="Arial" w:cs="Arial"/>
                <w:color w:val="000000"/>
                <w:sz w:val="22"/>
                <w:szCs w:val="22"/>
              </w:rPr>
              <w:t>Runway &amp; Burn Rate</w:t>
            </w:r>
          </w:p>
        </w:tc>
        <w:tc>
          <w:tcPr>
            <w:tcW w:w="4160" w:type="dxa"/>
            <w:shd w:val="clear" w:color="auto" w:fill="FFF3CD"/>
            <w:tcMar>
              <w:top w:w="80" w:type="dxa"/>
              <w:left w:w="120" w:type="dxa"/>
              <w:bottom w:w="80" w:type="dxa"/>
              <w:right w:w="120" w:type="dxa"/>
            </w:tcMar>
          </w:tcPr>
          <w:p w14:paraId="720C81E9" w14:textId="77777777" w:rsidR="003A2DE4" w:rsidRDefault="00000000">
            <w:pPr>
              <w:spacing w:before="60" w:after="60"/>
            </w:pPr>
            <w:r>
              <w:rPr>
                <w:rFonts w:ascii="Arial" w:eastAsia="Arial" w:hAnsi="Arial" w:cs="Arial"/>
                <w:color w:val="000000"/>
                <w:sz w:val="22"/>
                <w:szCs w:val="22"/>
              </w:rPr>
              <w:t>Obtain current cash position, monthly gross burn, and estimated runway to Series A; confirm CIBC credit line draw terms and availability</w:t>
            </w:r>
          </w:p>
        </w:tc>
        <w:tc>
          <w:tcPr>
            <w:tcW w:w="1800" w:type="dxa"/>
            <w:shd w:val="clear" w:color="auto" w:fill="FFF3CD"/>
            <w:tcMar>
              <w:top w:w="80" w:type="dxa"/>
              <w:left w:w="120" w:type="dxa"/>
              <w:bottom w:w="80" w:type="dxa"/>
              <w:right w:w="120" w:type="dxa"/>
            </w:tcMar>
          </w:tcPr>
          <w:p w14:paraId="64E0CA78" w14:textId="77777777" w:rsidR="003A2DE4" w:rsidRDefault="00000000">
            <w:pPr>
              <w:spacing w:before="60" w:after="60"/>
            </w:pPr>
            <w:r>
              <w:rPr>
                <w:rFonts w:ascii="Arial" w:eastAsia="Arial" w:hAnsi="Arial" w:cs="Arial"/>
                <w:color w:val="000000"/>
                <w:sz w:val="22"/>
                <w:szCs w:val="22"/>
              </w:rPr>
              <w:t>TBD — Pending Dealum API</w:t>
            </w:r>
          </w:p>
        </w:tc>
        <w:tc>
          <w:tcPr>
            <w:tcW w:w="1400" w:type="dxa"/>
            <w:shd w:val="clear" w:color="auto" w:fill="FFF3CD"/>
            <w:tcMar>
              <w:top w:w="80" w:type="dxa"/>
              <w:left w:w="120" w:type="dxa"/>
              <w:bottom w:w="80" w:type="dxa"/>
              <w:right w:w="120" w:type="dxa"/>
            </w:tcMar>
          </w:tcPr>
          <w:p w14:paraId="1EC43CFB" w14:textId="77777777" w:rsidR="003A2DE4" w:rsidRDefault="00000000">
            <w:pPr>
              <w:spacing w:before="60" w:after="60"/>
            </w:pPr>
            <w:r>
              <w:rPr>
                <w:rFonts w:ascii="Arial" w:eastAsia="Arial" w:hAnsi="Arial" w:cs="Arial"/>
                <w:color w:val="000000"/>
                <w:sz w:val="22"/>
                <w:szCs w:val="22"/>
              </w:rPr>
              <w:t>HIGH ⚠</w:t>
            </w:r>
          </w:p>
        </w:tc>
      </w:tr>
      <w:tr w:rsidR="003A2DE4" w14:paraId="6EB12D83" w14:textId="77777777">
        <w:tblPrEx>
          <w:tblCellMar>
            <w:top w:w="0" w:type="dxa"/>
            <w:bottom w:w="0" w:type="dxa"/>
          </w:tblCellMar>
        </w:tblPrEx>
        <w:tc>
          <w:tcPr>
            <w:tcW w:w="2000" w:type="dxa"/>
            <w:shd w:val="clear" w:color="auto" w:fill="FFF3CD"/>
            <w:tcMar>
              <w:top w:w="80" w:type="dxa"/>
              <w:left w:w="120" w:type="dxa"/>
              <w:bottom w:w="80" w:type="dxa"/>
              <w:right w:w="120" w:type="dxa"/>
            </w:tcMar>
          </w:tcPr>
          <w:p w14:paraId="41FCA1EF" w14:textId="77777777" w:rsidR="003A2DE4" w:rsidRDefault="00000000">
            <w:pPr>
              <w:spacing w:before="60" w:after="60"/>
            </w:pPr>
            <w:r>
              <w:rPr>
                <w:rFonts w:ascii="Arial" w:eastAsia="Arial" w:hAnsi="Arial" w:cs="Arial"/>
                <w:color w:val="000000"/>
                <w:sz w:val="22"/>
                <w:szCs w:val="22"/>
              </w:rPr>
              <w:t>Lead Investor — Identification</w:t>
            </w:r>
          </w:p>
        </w:tc>
        <w:tc>
          <w:tcPr>
            <w:tcW w:w="4160" w:type="dxa"/>
            <w:shd w:val="clear" w:color="auto" w:fill="FFF3CD"/>
            <w:tcMar>
              <w:top w:w="80" w:type="dxa"/>
              <w:left w:w="120" w:type="dxa"/>
              <w:bottom w:w="80" w:type="dxa"/>
              <w:right w:w="120" w:type="dxa"/>
            </w:tcMar>
          </w:tcPr>
          <w:p w14:paraId="13DD37C7" w14:textId="77777777" w:rsidR="003A2DE4" w:rsidRDefault="00000000">
            <w:pPr>
              <w:spacing w:before="60" w:after="60"/>
            </w:pPr>
            <w:r>
              <w:rPr>
                <w:rFonts w:ascii="Arial" w:eastAsia="Arial" w:hAnsi="Arial" w:cs="Arial"/>
                <w:color w:val="000000"/>
                <w:sz w:val="22"/>
                <w:szCs w:val="22"/>
              </w:rPr>
              <w:t>Identify and confirm institutional lead for current round; NWAi participation contingent on credible lead</w:t>
            </w:r>
          </w:p>
        </w:tc>
        <w:tc>
          <w:tcPr>
            <w:tcW w:w="1800" w:type="dxa"/>
            <w:shd w:val="clear" w:color="auto" w:fill="FFF3CD"/>
            <w:tcMar>
              <w:top w:w="80" w:type="dxa"/>
              <w:left w:w="120" w:type="dxa"/>
              <w:bottom w:w="80" w:type="dxa"/>
              <w:right w:w="120" w:type="dxa"/>
            </w:tcMar>
          </w:tcPr>
          <w:p w14:paraId="28B17AA0" w14:textId="77777777" w:rsidR="003A2DE4" w:rsidRDefault="00000000">
            <w:pPr>
              <w:spacing w:before="60" w:after="60"/>
            </w:pPr>
            <w:r>
              <w:rPr>
                <w:rFonts w:ascii="Arial" w:eastAsia="Arial" w:hAnsi="Arial" w:cs="Arial"/>
                <w:color w:val="000000"/>
                <w:sz w:val="22"/>
                <w:szCs w:val="22"/>
              </w:rPr>
              <w:t>TBD — Pending Dealum API</w:t>
            </w:r>
          </w:p>
        </w:tc>
        <w:tc>
          <w:tcPr>
            <w:tcW w:w="1400" w:type="dxa"/>
            <w:shd w:val="clear" w:color="auto" w:fill="FFF3CD"/>
            <w:tcMar>
              <w:top w:w="80" w:type="dxa"/>
              <w:left w:w="120" w:type="dxa"/>
              <w:bottom w:w="80" w:type="dxa"/>
              <w:right w:w="120" w:type="dxa"/>
            </w:tcMar>
          </w:tcPr>
          <w:p w14:paraId="3BBA21D8" w14:textId="77777777" w:rsidR="003A2DE4" w:rsidRDefault="00000000">
            <w:pPr>
              <w:spacing w:before="60" w:after="60"/>
            </w:pPr>
            <w:r>
              <w:rPr>
                <w:rFonts w:ascii="Arial" w:eastAsia="Arial" w:hAnsi="Arial" w:cs="Arial"/>
                <w:color w:val="000000"/>
                <w:sz w:val="22"/>
                <w:szCs w:val="22"/>
              </w:rPr>
              <w:t>HIGH ⚠</w:t>
            </w:r>
          </w:p>
        </w:tc>
      </w:tr>
      <w:tr w:rsidR="003A2DE4" w14:paraId="5BB724DF" w14:textId="77777777">
        <w:tblPrEx>
          <w:tblCellMar>
            <w:top w:w="0" w:type="dxa"/>
            <w:bottom w:w="0" w:type="dxa"/>
          </w:tblCellMar>
        </w:tblPrEx>
        <w:tc>
          <w:tcPr>
            <w:tcW w:w="2000" w:type="dxa"/>
            <w:shd w:val="clear" w:color="auto" w:fill="FFF3CD"/>
            <w:tcMar>
              <w:top w:w="80" w:type="dxa"/>
              <w:left w:w="120" w:type="dxa"/>
              <w:bottom w:w="80" w:type="dxa"/>
              <w:right w:w="120" w:type="dxa"/>
            </w:tcMar>
          </w:tcPr>
          <w:p w14:paraId="1E2BF6D3" w14:textId="77777777" w:rsidR="003A2DE4" w:rsidRDefault="00000000">
            <w:pPr>
              <w:spacing w:before="60" w:after="60"/>
            </w:pPr>
            <w:r>
              <w:rPr>
                <w:rFonts w:ascii="Arial" w:eastAsia="Arial" w:hAnsi="Arial" w:cs="Arial"/>
                <w:color w:val="000000"/>
                <w:sz w:val="22"/>
                <w:szCs w:val="22"/>
              </w:rPr>
              <w:lastRenderedPageBreak/>
              <w:t>Below-Floor Pricing — Repricing Path</w:t>
            </w:r>
          </w:p>
        </w:tc>
        <w:tc>
          <w:tcPr>
            <w:tcW w:w="4160" w:type="dxa"/>
            <w:shd w:val="clear" w:color="auto" w:fill="FFF3CD"/>
            <w:tcMar>
              <w:top w:w="80" w:type="dxa"/>
              <w:left w:w="120" w:type="dxa"/>
              <w:bottom w:w="80" w:type="dxa"/>
              <w:right w:w="120" w:type="dxa"/>
            </w:tcMar>
          </w:tcPr>
          <w:p w14:paraId="17A8B646" w14:textId="77777777" w:rsidR="003A2DE4" w:rsidRDefault="00000000">
            <w:pPr>
              <w:spacing w:before="60" w:after="60"/>
            </w:pPr>
            <w:r>
              <w:rPr>
                <w:rFonts w:ascii="Arial" w:eastAsia="Arial" w:hAnsi="Arial" w:cs="Arial"/>
                <w:color w:val="000000"/>
                <w:sz w:val="22"/>
                <w:szCs w:val="22"/>
              </w:rPr>
              <w:t>Document discounting policy for current 5 customers; confirm contract renewal dates and path to $7,500+ floor</w:t>
            </w:r>
          </w:p>
        </w:tc>
        <w:tc>
          <w:tcPr>
            <w:tcW w:w="1800" w:type="dxa"/>
            <w:shd w:val="clear" w:color="auto" w:fill="FFF3CD"/>
            <w:tcMar>
              <w:top w:w="80" w:type="dxa"/>
              <w:left w:w="120" w:type="dxa"/>
              <w:bottom w:w="80" w:type="dxa"/>
              <w:right w:w="120" w:type="dxa"/>
            </w:tcMar>
          </w:tcPr>
          <w:p w14:paraId="3E65690E" w14:textId="77777777" w:rsidR="003A2DE4" w:rsidRDefault="00000000">
            <w:pPr>
              <w:spacing w:before="60" w:after="60"/>
            </w:pPr>
            <w:r>
              <w:rPr>
                <w:rFonts w:ascii="Arial" w:eastAsia="Arial" w:hAnsi="Arial" w:cs="Arial"/>
                <w:color w:val="000000"/>
                <w:sz w:val="22"/>
                <w:szCs w:val="22"/>
              </w:rPr>
              <w:t>TBD — Pending Dealum API</w:t>
            </w:r>
          </w:p>
        </w:tc>
        <w:tc>
          <w:tcPr>
            <w:tcW w:w="1400" w:type="dxa"/>
            <w:shd w:val="clear" w:color="auto" w:fill="FFF3CD"/>
            <w:tcMar>
              <w:top w:w="80" w:type="dxa"/>
              <w:left w:w="120" w:type="dxa"/>
              <w:bottom w:w="80" w:type="dxa"/>
              <w:right w:w="120" w:type="dxa"/>
            </w:tcMar>
          </w:tcPr>
          <w:p w14:paraId="537C1ED1" w14:textId="77777777" w:rsidR="003A2DE4" w:rsidRDefault="00000000">
            <w:pPr>
              <w:spacing w:before="60" w:after="60"/>
            </w:pPr>
            <w:r>
              <w:rPr>
                <w:rFonts w:ascii="Arial" w:eastAsia="Arial" w:hAnsi="Arial" w:cs="Arial"/>
                <w:color w:val="000000"/>
                <w:sz w:val="22"/>
                <w:szCs w:val="22"/>
              </w:rPr>
              <w:t>HIGH ⚠</w:t>
            </w:r>
          </w:p>
        </w:tc>
      </w:tr>
      <w:tr w:rsidR="003A2DE4" w14:paraId="2BFADC79" w14:textId="77777777">
        <w:tblPrEx>
          <w:tblCellMar>
            <w:top w:w="0" w:type="dxa"/>
            <w:bottom w:w="0" w:type="dxa"/>
          </w:tblCellMar>
        </w:tblPrEx>
        <w:tc>
          <w:tcPr>
            <w:tcW w:w="2000" w:type="dxa"/>
            <w:shd w:val="clear" w:color="auto" w:fill="F4F4F4"/>
            <w:tcMar>
              <w:top w:w="80" w:type="dxa"/>
              <w:left w:w="120" w:type="dxa"/>
              <w:bottom w:w="80" w:type="dxa"/>
              <w:right w:w="120" w:type="dxa"/>
            </w:tcMar>
          </w:tcPr>
          <w:p w14:paraId="1C0E5CE6" w14:textId="77777777" w:rsidR="003A2DE4" w:rsidRDefault="00000000">
            <w:pPr>
              <w:spacing w:before="60" w:after="60"/>
            </w:pPr>
            <w:r>
              <w:rPr>
                <w:rFonts w:ascii="Arial" w:eastAsia="Arial" w:hAnsi="Arial" w:cs="Arial"/>
                <w:color w:val="000000"/>
                <w:sz w:val="22"/>
                <w:szCs w:val="22"/>
              </w:rPr>
              <w:t>Founder Succession Plan</w:t>
            </w:r>
          </w:p>
        </w:tc>
        <w:tc>
          <w:tcPr>
            <w:tcW w:w="4160" w:type="dxa"/>
            <w:shd w:val="clear" w:color="auto" w:fill="F4F4F4"/>
            <w:tcMar>
              <w:top w:w="80" w:type="dxa"/>
              <w:left w:w="120" w:type="dxa"/>
              <w:bottom w:w="80" w:type="dxa"/>
              <w:right w:w="120" w:type="dxa"/>
            </w:tcMar>
          </w:tcPr>
          <w:p w14:paraId="6E0EADE2" w14:textId="77777777" w:rsidR="003A2DE4" w:rsidRDefault="00000000">
            <w:pPr>
              <w:spacing w:before="60" w:after="60"/>
            </w:pPr>
            <w:r>
              <w:rPr>
                <w:rFonts w:ascii="Arial" w:eastAsia="Arial" w:hAnsi="Arial" w:cs="Arial"/>
                <w:color w:val="000000"/>
                <w:sz w:val="22"/>
                <w:szCs w:val="22"/>
              </w:rPr>
              <w:t>Document succession plan given Levine's explicit exit intent post-Series A; identify intended next CEO or CTO escalation path</w:t>
            </w:r>
          </w:p>
        </w:tc>
        <w:tc>
          <w:tcPr>
            <w:tcW w:w="1800" w:type="dxa"/>
            <w:shd w:val="clear" w:color="auto" w:fill="F4F4F4"/>
            <w:tcMar>
              <w:top w:w="80" w:type="dxa"/>
              <w:left w:w="120" w:type="dxa"/>
              <w:bottom w:w="80" w:type="dxa"/>
              <w:right w:w="120" w:type="dxa"/>
            </w:tcMar>
          </w:tcPr>
          <w:p w14:paraId="44319822" w14:textId="77777777" w:rsidR="003A2DE4" w:rsidRDefault="00000000">
            <w:pPr>
              <w:spacing w:before="60" w:after="60"/>
            </w:pPr>
            <w:r>
              <w:rPr>
                <w:rFonts w:ascii="Arial" w:eastAsia="Arial" w:hAnsi="Arial" w:cs="Arial"/>
                <w:color w:val="000000"/>
                <w:sz w:val="22"/>
                <w:szCs w:val="22"/>
              </w:rPr>
              <w:t>TBD — Pending Dealum API</w:t>
            </w:r>
          </w:p>
        </w:tc>
        <w:tc>
          <w:tcPr>
            <w:tcW w:w="1400" w:type="dxa"/>
            <w:shd w:val="clear" w:color="auto" w:fill="F4F4F4"/>
            <w:tcMar>
              <w:top w:w="80" w:type="dxa"/>
              <w:left w:w="120" w:type="dxa"/>
              <w:bottom w:w="80" w:type="dxa"/>
              <w:right w:w="120" w:type="dxa"/>
            </w:tcMar>
          </w:tcPr>
          <w:p w14:paraId="3DA632E2" w14:textId="77777777" w:rsidR="003A2DE4" w:rsidRDefault="00000000">
            <w:pPr>
              <w:spacing w:before="60" w:after="60"/>
            </w:pPr>
            <w:r>
              <w:rPr>
                <w:rFonts w:ascii="Arial" w:eastAsia="Arial" w:hAnsi="Arial" w:cs="Arial"/>
                <w:color w:val="000000"/>
                <w:sz w:val="22"/>
                <w:szCs w:val="22"/>
              </w:rPr>
              <w:t>MEDIUM</w:t>
            </w:r>
          </w:p>
        </w:tc>
      </w:tr>
      <w:tr w:rsidR="003A2DE4" w14:paraId="7033E8D1" w14:textId="77777777">
        <w:tblPrEx>
          <w:tblCellMar>
            <w:top w:w="0" w:type="dxa"/>
            <w:bottom w:w="0" w:type="dxa"/>
          </w:tblCellMar>
        </w:tblPrEx>
        <w:tc>
          <w:tcPr>
            <w:tcW w:w="2000" w:type="dxa"/>
            <w:shd w:val="clear" w:color="auto" w:fill="F4F4F4"/>
            <w:tcMar>
              <w:top w:w="80" w:type="dxa"/>
              <w:left w:w="120" w:type="dxa"/>
              <w:bottom w:w="80" w:type="dxa"/>
              <w:right w:w="120" w:type="dxa"/>
            </w:tcMar>
          </w:tcPr>
          <w:p w14:paraId="51E8D5AA" w14:textId="77777777" w:rsidR="003A2DE4" w:rsidRDefault="00000000">
            <w:pPr>
              <w:spacing w:before="60" w:after="60"/>
            </w:pPr>
            <w:r>
              <w:rPr>
                <w:rFonts w:ascii="Arial" w:eastAsia="Arial" w:hAnsi="Arial" w:cs="Arial"/>
                <w:color w:val="000000"/>
                <w:sz w:val="22"/>
                <w:szCs w:val="22"/>
              </w:rPr>
              <w:t>CDW Contract Economics</w:t>
            </w:r>
          </w:p>
        </w:tc>
        <w:tc>
          <w:tcPr>
            <w:tcW w:w="4160" w:type="dxa"/>
            <w:shd w:val="clear" w:color="auto" w:fill="F4F4F4"/>
            <w:tcMar>
              <w:top w:w="80" w:type="dxa"/>
              <w:left w:w="120" w:type="dxa"/>
              <w:bottom w:w="80" w:type="dxa"/>
              <w:right w:w="120" w:type="dxa"/>
            </w:tcMar>
          </w:tcPr>
          <w:p w14:paraId="6C59AE13" w14:textId="77777777" w:rsidR="003A2DE4" w:rsidRDefault="00000000">
            <w:pPr>
              <w:spacing w:before="60" w:after="60"/>
            </w:pPr>
            <w:r>
              <w:rPr>
                <w:rFonts w:ascii="Arial" w:eastAsia="Arial" w:hAnsi="Arial" w:cs="Arial"/>
                <w:color w:val="000000"/>
                <w:sz w:val="22"/>
                <w:szCs w:val="22"/>
              </w:rPr>
              <w:t>Confirm CDW contract structure (revenue share vs. licensing vs. per-deployment); obtain any minimum volume or revenue guarantees</w:t>
            </w:r>
          </w:p>
        </w:tc>
        <w:tc>
          <w:tcPr>
            <w:tcW w:w="1800" w:type="dxa"/>
            <w:shd w:val="clear" w:color="auto" w:fill="F4F4F4"/>
            <w:tcMar>
              <w:top w:w="80" w:type="dxa"/>
              <w:left w:w="120" w:type="dxa"/>
              <w:bottom w:w="80" w:type="dxa"/>
              <w:right w:w="120" w:type="dxa"/>
            </w:tcMar>
          </w:tcPr>
          <w:p w14:paraId="47780E81" w14:textId="77777777" w:rsidR="003A2DE4" w:rsidRDefault="00000000">
            <w:pPr>
              <w:spacing w:before="60" w:after="60"/>
            </w:pPr>
            <w:r>
              <w:rPr>
                <w:rFonts w:ascii="Arial" w:eastAsia="Arial" w:hAnsi="Arial" w:cs="Arial"/>
                <w:color w:val="000000"/>
                <w:sz w:val="22"/>
                <w:szCs w:val="22"/>
              </w:rPr>
              <w:t>TBD — Pending Dealum API</w:t>
            </w:r>
          </w:p>
        </w:tc>
        <w:tc>
          <w:tcPr>
            <w:tcW w:w="1400" w:type="dxa"/>
            <w:shd w:val="clear" w:color="auto" w:fill="F4F4F4"/>
            <w:tcMar>
              <w:top w:w="80" w:type="dxa"/>
              <w:left w:w="120" w:type="dxa"/>
              <w:bottom w:w="80" w:type="dxa"/>
              <w:right w:w="120" w:type="dxa"/>
            </w:tcMar>
          </w:tcPr>
          <w:p w14:paraId="63D15197" w14:textId="77777777" w:rsidR="003A2DE4" w:rsidRDefault="00000000">
            <w:pPr>
              <w:spacing w:before="60" w:after="60"/>
            </w:pPr>
            <w:r>
              <w:rPr>
                <w:rFonts w:ascii="Arial" w:eastAsia="Arial" w:hAnsi="Arial" w:cs="Arial"/>
                <w:color w:val="000000"/>
                <w:sz w:val="22"/>
                <w:szCs w:val="22"/>
              </w:rPr>
              <w:t>MEDIUM</w:t>
            </w:r>
          </w:p>
        </w:tc>
      </w:tr>
      <w:tr w:rsidR="003A2DE4" w14:paraId="49D66898" w14:textId="77777777">
        <w:tblPrEx>
          <w:tblCellMar>
            <w:top w:w="0" w:type="dxa"/>
            <w:bottom w:w="0" w:type="dxa"/>
          </w:tblCellMar>
        </w:tblPrEx>
        <w:tc>
          <w:tcPr>
            <w:tcW w:w="2000" w:type="dxa"/>
            <w:shd w:val="clear" w:color="auto" w:fill="F4F4F4"/>
            <w:tcMar>
              <w:top w:w="80" w:type="dxa"/>
              <w:left w:w="120" w:type="dxa"/>
              <w:bottom w:w="80" w:type="dxa"/>
              <w:right w:w="120" w:type="dxa"/>
            </w:tcMar>
          </w:tcPr>
          <w:p w14:paraId="12778766" w14:textId="77777777" w:rsidR="003A2DE4" w:rsidRDefault="00000000">
            <w:pPr>
              <w:spacing w:before="60" w:after="60"/>
            </w:pPr>
            <w:r>
              <w:rPr>
                <w:rFonts w:ascii="Arial" w:eastAsia="Arial" w:hAnsi="Arial" w:cs="Arial"/>
                <w:color w:val="000000"/>
                <w:sz w:val="22"/>
                <w:szCs w:val="22"/>
              </w:rPr>
              <w:t>IP — C-Corp Assignment</w:t>
            </w:r>
          </w:p>
        </w:tc>
        <w:tc>
          <w:tcPr>
            <w:tcW w:w="4160" w:type="dxa"/>
            <w:shd w:val="clear" w:color="auto" w:fill="F4F4F4"/>
            <w:tcMar>
              <w:top w:w="80" w:type="dxa"/>
              <w:left w:w="120" w:type="dxa"/>
              <w:bottom w:w="80" w:type="dxa"/>
              <w:right w:w="120" w:type="dxa"/>
            </w:tcMar>
          </w:tcPr>
          <w:p w14:paraId="0E921612" w14:textId="77777777" w:rsidR="003A2DE4" w:rsidRDefault="00000000">
            <w:pPr>
              <w:spacing w:before="60" w:after="60"/>
            </w:pPr>
            <w:r>
              <w:rPr>
                <w:rFonts w:ascii="Arial" w:eastAsia="Arial" w:hAnsi="Arial" w:cs="Arial"/>
                <w:color w:val="000000"/>
                <w:sz w:val="22"/>
                <w:szCs w:val="22"/>
              </w:rPr>
              <w:t>Confirm all IP assigned to LLC; verify clean transfer to C-Corp on conversion with no third-party claims</w:t>
            </w:r>
          </w:p>
        </w:tc>
        <w:tc>
          <w:tcPr>
            <w:tcW w:w="1800" w:type="dxa"/>
            <w:shd w:val="clear" w:color="auto" w:fill="F4F4F4"/>
            <w:tcMar>
              <w:top w:w="80" w:type="dxa"/>
              <w:left w:w="120" w:type="dxa"/>
              <w:bottom w:w="80" w:type="dxa"/>
              <w:right w:w="120" w:type="dxa"/>
            </w:tcMar>
          </w:tcPr>
          <w:p w14:paraId="156564FE" w14:textId="77777777" w:rsidR="003A2DE4" w:rsidRDefault="00000000">
            <w:pPr>
              <w:spacing w:before="60" w:after="60"/>
            </w:pPr>
            <w:r>
              <w:rPr>
                <w:rFonts w:ascii="Arial" w:eastAsia="Arial" w:hAnsi="Arial" w:cs="Arial"/>
                <w:color w:val="000000"/>
                <w:sz w:val="22"/>
                <w:szCs w:val="22"/>
              </w:rPr>
              <w:t>TBD — Pending Dealum API</w:t>
            </w:r>
          </w:p>
        </w:tc>
        <w:tc>
          <w:tcPr>
            <w:tcW w:w="1400" w:type="dxa"/>
            <w:shd w:val="clear" w:color="auto" w:fill="F4F4F4"/>
            <w:tcMar>
              <w:top w:w="80" w:type="dxa"/>
              <w:left w:w="120" w:type="dxa"/>
              <w:bottom w:w="80" w:type="dxa"/>
              <w:right w:w="120" w:type="dxa"/>
            </w:tcMar>
          </w:tcPr>
          <w:p w14:paraId="6DE01D71" w14:textId="77777777" w:rsidR="003A2DE4" w:rsidRDefault="00000000">
            <w:pPr>
              <w:spacing w:before="60" w:after="60"/>
            </w:pPr>
            <w:r>
              <w:rPr>
                <w:rFonts w:ascii="Arial" w:eastAsia="Arial" w:hAnsi="Arial" w:cs="Arial"/>
                <w:color w:val="000000"/>
                <w:sz w:val="22"/>
                <w:szCs w:val="22"/>
              </w:rPr>
              <w:t>MEDIUM</w:t>
            </w:r>
          </w:p>
        </w:tc>
      </w:tr>
      <w:tr w:rsidR="003A2DE4" w14:paraId="5AEA65BC" w14:textId="77777777">
        <w:tblPrEx>
          <w:tblCellMar>
            <w:top w:w="0" w:type="dxa"/>
            <w:bottom w:w="0" w:type="dxa"/>
          </w:tblCellMar>
        </w:tblPrEx>
        <w:tc>
          <w:tcPr>
            <w:tcW w:w="2000" w:type="dxa"/>
            <w:shd w:val="clear" w:color="auto" w:fill="F4F4F4"/>
            <w:tcMar>
              <w:top w:w="80" w:type="dxa"/>
              <w:left w:w="120" w:type="dxa"/>
              <w:bottom w:w="80" w:type="dxa"/>
              <w:right w:w="120" w:type="dxa"/>
            </w:tcMar>
          </w:tcPr>
          <w:p w14:paraId="41776251" w14:textId="77777777" w:rsidR="003A2DE4" w:rsidRDefault="00000000">
            <w:pPr>
              <w:spacing w:before="60" w:after="60"/>
            </w:pPr>
            <w:r>
              <w:rPr>
                <w:rFonts w:ascii="Arial" w:eastAsia="Arial" w:hAnsi="Arial" w:cs="Arial"/>
                <w:color w:val="000000"/>
                <w:sz w:val="22"/>
                <w:szCs w:val="22"/>
              </w:rPr>
              <w:t>Unit Economics — LTV:CAC</w:t>
            </w:r>
          </w:p>
        </w:tc>
        <w:tc>
          <w:tcPr>
            <w:tcW w:w="4160" w:type="dxa"/>
            <w:shd w:val="clear" w:color="auto" w:fill="F4F4F4"/>
            <w:tcMar>
              <w:top w:w="80" w:type="dxa"/>
              <w:left w:w="120" w:type="dxa"/>
              <w:bottom w:w="80" w:type="dxa"/>
              <w:right w:w="120" w:type="dxa"/>
            </w:tcMar>
          </w:tcPr>
          <w:p w14:paraId="1C0381C3" w14:textId="77777777" w:rsidR="003A2DE4" w:rsidRDefault="00000000">
            <w:pPr>
              <w:spacing w:before="60" w:after="60"/>
            </w:pPr>
            <w:r>
              <w:rPr>
                <w:rFonts w:ascii="Arial" w:eastAsia="Arial" w:hAnsi="Arial" w:cs="Arial"/>
                <w:color w:val="000000"/>
                <w:sz w:val="22"/>
                <w:szCs w:val="22"/>
              </w:rPr>
              <w:t>Calculate formal CAC across current 5 customers; confirm LTV assumptions given below-floor pricing; get churn/retention data</w:t>
            </w:r>
          </w:p>
        </w:tc>
        <w:tc>
          <w:tcPr>
            <w:tcW w:w="1800" w:type="dxa"/>
            <w:shd w:val="clear" w:color="auto" w:fill="F4F4F4"/>
            <w:tcMar>
              <w:top w:w="80" w:type="dxa"/>
              <w:left w:w="120" w:type="dxa"/>
              <w:bottom w:w="80" w:type="dxa"/>
              <w:right w:w="120" w:type="dxa"/>
            </w:tcMar>
          </w:tcPr>
          <w:p w14:paraId="4D95E27E" w14:textId="77777777" w:rsidR="003A2DE4" w:rsidRDefault="00000000">
            <w:pPr>
              <w:spacing w:before="60" w:after="60"/>
            </w:pPr>
            <w:r>
              <w:rPr>
                <w:rFonts w:ascii="Arial" w:eastAsia="Arial" w:hAnsi="Arial" w:cs="Arial"/>
                <w:color w:val="000000"/>
                <w:sz w:val="22"/>
                <w:szCs w:val="22"/>
              </w:rPr>
              <w:t>TBD — Pending Dealum API</w:t>
            </w:r>
          </w:p>
        </w:tc>
        <w:tc>
          <w:tcPr>
            <w:tcW w:w="1400" w:type="dxa"/>
            <w:shd w:val="clear" w:color="auto" w:fill="F4F4F4"/>
            <w:tcMar>
              <w:top w:w="80" w:type="dxa"/>
              <w:left w:w="120" w:type="dxa"/>
              <w:bottom w:w="80" w:type="dxa"/>
              <w:right w:w="120" w:type="dxa"/>
            </w:tcMar>
          </w:tcPr>
          <w:p w14:paraId="0A1ECEA6" w14:textId="77777777" w:rsidR="003A2DE4" w:rsidRDefault="00000000">
            <w:pPr>
              <w:spacing w:before="60" w:after="60"/>
            </w:pPr>
            <w:r>
              <w:rPr>
                <w:rFonts w:ascii="Arial" w:eastAsia="Arial" w:hAnsi="Arial" w:cs="Arial"/>
                <w:color w:val="000000"/>
                <w:sz w:val="22"/>
                <w:szCs w:val="22"/>
              </w:rPr>
              <w:t>MEDIUM</w:t>
            </w:r>
          </w:p>
        </w:tc>
      </w:tr>
    </w:tbl>
    <w:p w14:paraId="6D4DB64F" w14:textId="77777777" w:rsidR="00C43E15" w:rsidRDefault="00C43E15"/>
    <w:sectPr w:rsidR="00C43E15">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5D077" w14:textId="77777777" w:rsidR="00C43E15" w:rsidRDefault="00C43E15">
      <w:r>
        <w:separator/>
      </w:r>
    </w:p>
  </w:endnote>
  <w:endnote w:type="continuationSeparator" w:id="0">
    <w:p w14:paraId="09638C76" w14:textId="77777777" w:rsidR="00C43E15" w:rsidRDefault="00C43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AD85A" w14:textId="77777777" w:rsidR="003A2DE4" w:rsidRDefault="00000000">
    <w:r>
      <w:rPr>
        <w:rFonts w:ascii="Arial" w:eastAsia="Arial" w:hAnsi="Arial" w:cs="Arial"/>
        <w:color w:val="888888"/>
        <w:sz w:val="18"/>
        <w:szCs w:val="18"/>
      </w:rPr>
      <w:t xml:space="preserve">Synergist Technology, LLC (d/b/a AFFIRM)     |     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514AEB">
      <w:rPr>
        <w:rFonts w:ascii="Arial" w:eastAsia="Arial" w:hAnsi="Arial" w:cs="Arial"/>
        <w:noProof/>
        <w:color w:val="888888"/>
        <w:sz w:val="18"/>
        <w:szCs w:val="18"/>
      </w:rPr>
      <w:t>1</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63D16" w14:textId="77777777" w:rsidR="00C43E15" w:rsidRDefault="00C43E15">
      <w:r>
        <w:separator/>
      </w:r>
    </w:p>
  </w:footnote>
  <w:footnote w:type="continuationSeparator" w:id="0">
    <w:p w14:paraId="1F221A7C" w14:textId="77777777" w:rsidR="00C43E15" w:rsidRDefault="00C43E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9B3ED" w14:textId="77777777" w:rsidR="003A2DE4" w:rsidRDefault="00000000">
    <w:pPr>
      <w:jc w:val="right"/>
    </w:pPr>
    <w:r>
      <w:rPr>
        <w:rFonts w:ascii="Arial" w:eastAsia="Arial" w:hAnsi="Arial" w:cs="Arial"/>
        <w:color w:val="888888"/>
        <w:sz w:val="18"/>
        <w:szCs w:val="18"/>
      </w:rPr>
      <w:t>New World Angels — Confidential Investment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07B30"/>
    <w:multiLevelType w:val="hybridMultilevel"/>
    <w:tmpl w:val="82A0B6C2"/>
    <w:lvl w:ilvl="0" w:tplc="E1503D02">
      <w:start w:val="1"/>
      <w:numFmt w:val="bullet"/>
      <w:lvlText w:val="●"/>
      <w:lvlJc w:val="left"/>
      <w:pPr>
        <w:ind w:left="720" w:hanging="360"/>
      </w:pPr>
    </w:lvl>
    <w:lvl w:ilvl="1" w:tplc="01F6998E">
      <w:start w:val="1"/>
      <w:numFmt w:val="bullet"/>
      <w:lvlText w:val="○"/>
      <w:lvlJc w:val="left"/>
      <w:pPr>
        <w:ind w:left="1440" w:hanging="360"/>
      </w:pPr>
    </w:lvl>
    <w:lvl w:ilvl="2" w:tplc="53241116">
      <w:start w:val="1"/>
      <w:numFmt w:val="bullet"/>
      <w:lvlText w:val="■"/>
      <w:lvlJc w:val="left"/>
      <w:pPr>
        <w:ind w:left="2160" w:hanging="360"/>
      </w:pPr>
    </w:lvl>
    <w:lvl w:ilvl="3" w:tplc="CF683ECE">
      <w:start w:val="1"/>
      <w:numFmt w:val="bullet"/>
      <w:lvlText w:val="●"/>
      <w:lvlJc w:val="left"/>
      <w:pPr>
        <w:ind w:left="2880" w:hanging="360"/>
      </w:pPr>
    </w:lvl>
    <w:lvl w:ilvl="4" w:tplc="C7ACCED0">
      <w:start w:val="1"/>
      <w:numFmt w:val="bullet"/>
      <w:lvlText w:val="○"/>
      <w:lvlJc w:val="left"/>
      <w:pPr>
        <w:ind w:left="3600" w:hanging="360"/>
      </w:pPr>
    </w:lvl>
    <w:lvl w:ilvl="5" w:tplc="A2CE37CC">
      <w:start w:val="1"/>
      <w:numFmt w:val="bullet"/>
      <w:lvlText w:val="■"/>
      <w:lvlJc w:val="left"/>
      <w:pPr>
        <w:ind w:left="4320" w:hanging="360"/>
      </w:pPr>
    </w:lvl>
    <w:lvl w:ilvl="6" w:tplc="DA267712">
      <w:start w:val="1"/>
      <w:numFmt w:val="bullet"/>
      <w:lvlText w:val="●"/>
      <w:lvlJc w:val="left"/>
      <w:pPr>
        <w:ind w:left="5040" w:hanging="360"/>
      </w:pPr>
    </w:lvl>
    <w:lvl w:ilvl="7" w:tplc="8CB8053C">
      <w:start w:val="1"/>
      <w:numFmt w:val="bullet"/>
      <w:lvlText w:val="●"/>
      <w:lvlJc w:val="left"/>
      <w:pPr>
        <w:ind w:left="5760" w:hanging="360"/>
      </w:pPr>
    </w:lvl>
    <w:lvl w:ilvl="8" w:tplc="43046F4A">
      <w:start w:val="1"/>
      <w:numFmt w:val="bullet"/>
      <w:lvlText w:val="●"/>
      <w:lvlJc w:val="left"/>
      <w:pPr>
        <w:ind w:left="6480" w:hanging="360"/>
      </w:pPr>
    </w:lvl>
  </w:abstractNum>
  <w:num w:numId="1" w16cid:durableId="9887052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DE4"/>
    <w:rsid w:val="003A2DE4"/>
    <w:rsid w:val="00514AEB"/>
    <w:rsid w:val="005C6FF7"/>
    <w:rsid w:val="00C43E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0216E3A"/>
  <w15:docId w15:val="{6B8AE2A9-B9EE-BD49-98B4-C5D87062C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2655</Words>
  <Characters>15379</Characters>
  <Application>Microsoft Office Word</Application>
  <DocSecurity>0</DocSecurity>
  <Lines>438</Lines>
  <Paragraphs>183</Paragraphs>
  <ScaleCrop>false</ScaleCrop>
  <Company/>
  <LinksUpToDate>false</LinksUpToDate>
  <CharactersWithSpaces>17977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jamie allison</cp:lastModifiedBy>
  <cp:revision>2</cp:revision>
  <dcterms:created xsi:type="dcterms:W3CDTF">2026-03-22T21:47:00Z</dcterms:created>
  <dcterms:modified xsi:type="dcterms:W3CDTF">2026-03-22T21:48:00Z</dcterms:modified>
</cp:coreProperties>
</file>