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r>
              <w:rPr>
                <w:rFonts w:ascii="Arial" w:cs="Arial" w:eastAsia="Arial" w:hAnsi="Arial"/>
                <w:b/>
                <w:bCs/>
                <w:color w:val="FFFFFF"/>
                <w:sz w:val="22"/>
                <w:szCs w:val="22"/>
              </w:rPr>
              <w:t xml:space="preserve">STL  /  Financials + GTM Pipeline — Meeting Reconciliation</w:t>
            </w:r>
          </w:p>
        </w:tc>
      </w:tr>
      <w:tr>
        <w:tc>
          <w:tcPr>
            <w:tcW w:type="dxa" w:w="936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r>
              <w:rPr>
                <w:rFonts w:ascii="Arial" w:cs="Arial" w:eastAsia="Arial" w:hAnsi="Arial"/>
                <w:b w:val="false"/>
                <w:bCs w:val="false"/>
                <w:color w:val="FFFFFF"/>
                <w:sz w:val="18"/>
                <w:szCs w:val="18"/>
              </w:rPr>
              <w:t xml:space="preserve">NWAi TechGroup Diligence  |  April 7, 2026  |  Post-Meeting Analysis</w:t>
            </w:r>
          </w:p>
        </w:tc>
      </w:tr>
      <w:tr>
        <w:tc>
          <w:tcPr>
            <w:tcW w:type="dxa" w:w="9360"/>
            <w:tcBorders>
              <w:top w:val="single" w:color="CCCCCC" w:sz="1"/>
              <w:left w:val="single" w:color="CCCCCC" w:sz="1"/>
              <w:bottom w:val="single" w:color="CCCCCC" w:sz="1"/>
              <w:right w:val="single" w:color="CCCCCC" w:sz="1"/>
            </w:tcBorders>
            <w:shd w:fill="1F3864" w:val="clear"/>
            <w:tcMar>
              <w:top w:type="dxa" w:w="160"/>
              <w:left w:type="dxa" w:w="180"/>
              <w:bottom w:type="dxa" w:w="160"/>
              <w:right w:type="dxa" w:w="180"/>
            </w:tcMar>
          </w:tcPr>
          <w:p>
            <w:pPr>
              <w:spacing w:after="140"/>
            </w:pPr>
            <w:r>
              <w:rPr>
                <w:rFonts w:ascii="Arial" w:cs="Arial" w:eastAsia="Arial" w:hAnsi="Arial"/>
                <w:b/>
                <w:bCs/>
                <w:color w:val="FFC000"/>
                <w:sz w:val="22"/>
                <w:szCs w:val="22"/>
              </w:rPr>
              <w:t xml:space="preserve">ANALYST POV</w:t>
            </w:r>
          </w:p>
          <w:p>
            <w:pPr>
              <w:spacing w:after="200"/>
            </w:pPr>
            <w:r>
              <w:rPr>
                <w:rFonts w:ascii="Arial" w:cs="Arial" w:eastAsia="Arial" w:hAnsi="Arial"/>
                <w:b/>
                <w:bCs/>
                <w:color w:val="FFC000"/>
                <w:sz w:val="21"/>
                <w:szCs w:val="21"/>
              </w:rPr>
              <w:t xml:space="preserve">VERDICT:  </w:t>
            </w:r>
            <w:r>
              <w:rPr>
                <w:rFonts w:ascii="Arial" w:cs="Arial" w:eastAsia="Arial" w:hAnsi="Arial"/>
                <w:b/>
                <w:bCs/>
                <w:color w:val="FFFFFF"/>
                <w:sz w:val="21"/>
                <w:szCs w:val="21"/>
              </w:rPr>
              <w:t xml:space="preserve">STL is effectively insolvent, building its entire financial model on a Panasonic test agreement that expires in 8 weeks with zero results. The technology moat is real. The commercial thesis is now in survival mode.</w:t>
            </w:r>
          </w:p>
          <w:p>
            <w:pPr>
              <w:pBdr>
                <w:bottom w:val="single" w:color="4472C4" w:sz="1"/>
              </w:pBdr>
              <w:spacing w:after="140"/>
            </w:pPr>
          </w:p>
          <w:p>
            <w:pPr>
              <w:spacing w:after="100"/>
              <w:ind w:left="360"/>
            </w:pPr>
            <w:r>
              <w:rPr>
                <w:rFonts w:ascii="Arial" w:cs="Arial" w:eastAsia="Arial" w:hAnsi="Arial"/>
                <w:b/>
                <w:bCs/>
                <w:color w:val="FFFFFF"/>
                <w:sz w:val="19"/>
                <w:szCs w:val="19"/>
              </w:rPr>
              <w:t xml:space="preserve">Runway: </w:t>
            </w:r>
            <w:r>
              <w:rPr>
                <w:rFonts w:ascii="Arial" w:cs="Arial" w:eastAsia="Arial" w:hAnsi="Arial"/>
                <w:color w:val="FFFFFF"/>
                <w:sz w:val="19"/>
                <w:szCs w:val="19"/>
              </w:rPr>
              <w:t xml:space="preserve">$23K cash at March 31 with $73K/mo burn. Rescued by $125K angel check the morning of this call. Q1 revenue: $13,770 — entirely NPIAB. Panasonic: $0.</w:t>
            </w:r>
          </w:p>
          <w:p>
            <w:pPr>
              <w:spacing w:after="100"/>
              <w:ind w:left="360"/>
            </w:pPr>
            <w:r>
              <w:rPr>
                <w:rFonts w:ascii="Arial" w:cs="Arial" w:eastAsia="Arial" w:hAnsi="Arial"/>
                <w:b/>
                <w:bCs/>
                <w:color w:val="FFFFFF"/>
                <w:sz w:val="19"/>
                <w:szCs w:val="19"/>
              </w:rPr>
              <w:t xml:space="preserve">Panasonic contract: </w:t>
            </w:r>
            <w:r>
              <w:rPr>
                <w:rFonts w:ascii="Arial" w:cs="Arial" w:eastAsia="Arial" w:hAnsi="Arial"/>
                <w:color w:val="FFFFFF"/>
                <w:sz w:val="19"/>
                <w:szCs w:val="19"/>
              </w:rPr>
              <w:t xml:space="preserve">Agreement is a 6-month resale TEST (expires June 5, 2026), not a purchase commitment. The "80 projectors" is the success threshold — not a guaranteed order. Zero of 10 required projects closed at the halfway mark.</w:t>
            </w:r>
          </w:p>
          <w:p>
            <w:pPr>
              <w:spacing w:after="100"/>
              <w:ind w:left="360"/>
            </w:pPr>
            <w:r>
              <w:rPr>
                <w:rFonts w:ascii="Arial" w:cs="Arial" w:eastAsia="Arial" w:hAnsi="Arial"/>
                <w:b/>
                <w:bCs/>
                <w:color w:val="FFFFFF"/>
                <w:sz w:val="19"/>
                <w:szCs w:val="19"/>
              </w:rPr>
              <w:t xml:space="preserve">Financial model: </w:t>
            </w:r>
            <w:r>
              <w:rPr>
                <w:rFonts w:ascii="Arial" w:cs="Arial" w:eastAsia="Arial" w:hAnsi="Arial"/>
                <w:color w:val="FFFFFF"/>
                <w:sz w:val="19"/>
                <w:szCs w:val="19"/>
              </w:rPr>
              <w:t xml:space="preserve">12-month projections use only Panasonic (80 proj) + NPIAB (72 proj). Model is internally consistent but built on a test contract expiring in 8 weeks. Cash neutral by Q4 — only if both contracts execute on schedule.</w:t>
            </w:r>
          </w:p>
          <w:p>
            <w:pPr>
              <w:spacing w:after="100"/>
              <w:ind w:left="360"/>
            </w:pPr>
            <w:r>
              <w:rPr>
                <w:rFonts w:ascii="Arial" w:cs="Arial" w:eastAsia="Arial" w:hAnsi="Arial"/>
                <w:b/>
                <w:bCs/>
                <w:color w:val="FFFFFF"/>
                <w:sz w:val="19"/>
                <w:szCs w:val="19"/>
              </w:rPr>
              <w:t xml:space="preserve">GTM pipeline: </w:t>
            </w:r>
            <w:r>
              <w:rPr>
                <w:rFonts w:ascii="Arial" w:cs="Arial" w:eastAsia="Arial" w:hAnsi="Arial"/>
                <w:color w:val="FFFFFF"/>
                <w:sz w:val="19"/>
                <w:szCs w:val="19"/>
              </w:rPr>
              <w:t xml:space="preserve">Optoma, TechMD/Disney, PRG, Epson, Sony all in motion — right names, no near-term revenue. VP Sales (Feb hire) has infrastructure in place but zero closed partner deals. 6-9 month cycles on all.</w:t>
            </w:r>
          </w:p>
          <w:p>
            <w:pPr>
              <w:spacing w:after="100"/>
              <w:ind w:left="360"/>
            </w:pPr>
            <w:r>
              <w:rPr>
                <w:rFonts w:ascii="Arial" w:cs="Arial" w:eastAsia="Arial" w:hAnsi="Arial"/>
                <w:b/>
                <w:bCs/>
                <w:color w:val="FFFFFF"/>
                <w:sz w:val="19"/>
                <w:szCs w:val="19"/>
              </w:rPr>
              <w:t xml:space="preserve">Data room: </w:t>
            </w:r>
            <w:r>
              <w:rPr>
                <w:rFonts w:ascii="Arial" w:cs="Arial" w:eastAsia="Arial" w:hAnsi="Arial"/>
                <w:color w:val="FFFFFF"/>
                <w:sz w:val="19"/>
                <w:szCs w:val="19"/>
              </w:rPr>
              <w:t xml:space="preserve">Materially incomplete. Missing: updated cap table, employment agreements, full financials, HubSpot pipeline. No key man insurance. AMC pricing discrepancy: contract says $1K/yr vs. transcript $2.5K/5yr.</w:t>
            </w:r>
          </w:p>
          <w:p>
            <w:pPr>
              <w:pBdr>
                <w:bottom w:val="single" w:color="4472C4" w:sz="1"/>
              </w:pBdr>
              <w:spacing w:after="140"/>
            </w:pPr>
          </w:p>
          <w:p>
            <w:pPr>
              <w:spacing w:after="100"/>
            </w:pPr>
            <w:r>
              <w:rPr>
                <w:rFonts w:ascii="Arial" w:cs="Arial" w:eastAsia="Arial" w:hAnsi="Arial"/>
                <w:b/>
                <w:bCs/>
                <w:color w:val="FFC000"/>
                <w:sz w:val="19"/>
                <w:szCs w:val="19"/>
              </w:rPr>
              <w:t xml:space="preserve">NWAi DECISION GATE  —  4 items required before IC:</w:t>
            </w:r>
          </w:p>
          <w:p>
            <w:pPr>
              <w:spacing w:after="60"/>
              <w:ind w:left="360"/>
            </w:pPr>
            <w:r>
              <w:rPr>
                <w:rFonts w:ascii="Arial" w:cs="Arial" w:eastAsia="Arial" w:hAnsi="Arial"/>
                <w:color w:val="FFFFFF"/>
                <w:sz w:val="19"/>
                <w:szCs w:val="19"/>
              </w:rPr>
              <w:t xml:space="preserve">1.  Panasonic test status — any closed projects? Extension or renewal confirmed?</w:t>
            </w:r>
          </w:p>
          <w:p>
            <w:pPr>
              <w:spacing w:after="60"/>
              <w:ind w:left="360"/>
            </w:pPr>
            <w:r>
              <w:rPr>
                <w:rFonts w:ascii="Arial" w:cs="Arial" w:eastAsia="Arial" w:hAnsi="Arial"/>
                <w:color w:val="FFFFFF"/>
                <w:sz w:val="19"/>
                <w:szCs w:val="19"/>
              </w:rPr>
              <w:t xml:space="preserve">2.  AMC pricing reconciliation — contract ($1K/yr) vs. transcript ($2.5K/5yr) vs. model assumptions</w:t>
            </w:r>
          </w:p>
          <w:p>
            <w:pPr>
              <w:spacing w:after="60"/>
              <w:ind w:left="360"/>
            </w:pPr>
            <w:r>
              <w:rPr>
                <w:rFonts w:ascii="Arial" w:cs="Arial" w:eastAsia="Arial" w:hAnsi="Arial"/>
                <w:color w:val="FFFFFF"/>
                <w:sz w:val="19"/>
                <w:szCs w:val="19"/>
              </w:rPr>
              <w:t xml:space="preserve">3.  Complete data room — cap table, employment agreements, full financials, HubSpot pipeline</w:t>
            </w:r>
          </w:p>
          <w:p>
            <w:pPr>
              <w:ind w:left="360"/>
            </w:pPr>
            <w:r>
              <w:rPr>
                <w:rFonts w:ascii="Arial" w:cs="Arial" w:eastAsia="Arial" w:hAnsi="Arial"/>
                <w:color w:val="FFFFFF"/>
                <w:sz w:val="19"/>
                <w:szCs w:val="19"/>
              </w:rPr>
              <w:t xml:space="preserve">4.  Round closure update — $585K raised of $1M target; must close by June</w:t>
            </w:r>
          </w:p>
        </w:tc>
      </w:tr>
    </w:tbl>
    <w:p>
      <w:pPr>
        <w:spacing w:after="200"/>
      </w:pPr>
    </w:p>
    <w:p>
      <w:pPr>
        <w:spacing w:after="120" w:before="160"/>
      </w:pPr>
      <w:r>
        <w:rPr>
          <w:rFonts w:ascii="Arial" w:cs="Arial" w:eastAsia="Arial" w:hAnsi="Arial"/>
          <w:b/>
          <w:bCs/>
          <w:color w:val="1F3864"/>
          <w:sz w:val="24"/>
          <w:szCs w:val="24"/>
        </w:rPr>
        <w:t xml:space="preserve">KEY INSIGHTS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000"/>
        <w:gridCol w:w="3660"/>
      </w:tblGrid>
      <w:tr>
        <w:tc>
          <w:tcPr>
            <w:tcW w:type="dxa" w:w="17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r>
              <w:rPr>
                <w:rFonts w:ascii="Arial" w:cs="Arial" w:eastAsia="Arial" w:hAnsi="Arial"/>
                <w:b/>
                <w:bCs/>
                <w:color w:val="FFFFFF"/>
                <w:sz w:val="20"/>
                <w:szCs w:val="20"/>
              </w:rPr>
              <w:t xml:space="preserve">Insight</w:t>
            </w:r>
          </w:p>
        </w:tc>
        <w:tc>
          <w:tcPr>
            <w:tcW w:type="dxa" w:w="40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r>
              <w:rPr>
                <w:rFonts w:ascii="Arial" w:cs="Arial" w:eastAsia="Arial" w:hAnsi="Arial"/>
                <w:b/>
                <w:bCs/>
                <w:color w:val="FFFFFF"/>
                <w:sz w:val="20"/>
                <w:szCs w:val="20"/>
              </w:rPr>
              <w:t xml:space="preserve">What Was Said / Observed</w:t>
            </w:r>
          </w:p>
        </w:tc>
        <w:tc>
          <w:tcPr>
            <w:tcW w:type="dxa" w:w="366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r>
              <w:rPr>
                <w:rFonts w:ascii="Arial" w:cs="Arial" w:eastAsia="Arial" w:hAnsi="Arial"/>
                <w:b/>
                <w:bCs/>
                <w:color w:val="FFFFFF"/>
                <w:sz w:val="20"/>
                <w:szCs w:val="20"/>
              </w:rPr>
              <w:t xml:space="preserve">NWAi Impact &amp; Implications</w:t>
            </w:r>
          </w:p>
        </w:tc>
      </w:tr>
      <w:tr>
        <w:tc>
          <w:tcPr>
            <w:tcW w:type="dxa" w:w="17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top"/>
          </w:tcPr>
          <w:p>
            <w:pPr>
              <w:spacing w:after="60"/>
            </w:pPr>
            <w:r>
              <w:rPr>
                <w:rFonts w:ascii="Arial" w:cs="Arial" w:eastAsia="Arial" w:hAnsi="Arial"/>
                <w:b/>
                <w:bCs/>
                <w:color w:val="000000"/>
                <w:sz w:val="19"/>
                <w:szCs w:val="19"/>
              </w:rPr>
              <w:t xml:space="preserve">⚠️ CRITICAL</w:t>
            </w:r>
          </w:p>
          <w:p>
            <w:pPr>
              <w:spacing/>
            </w:pPr>
            <w:r>
              <w:rPr>
                <w:rFonts w:ascii="Arial" w:cs="Arial" w:eastAsia="Arial" w:hAnsi="Arial"/>
                <w:b w:val="false"/>
                <w:bCs w:val="false"/>
                <w:color w:val="000000"/>
                <w:sz w:val="18"/>
                <w:szCs w:val="18"/>
              </w:rPr>
              <w:t xml:space="preserve">Runway Was Effectively Zero at Month End</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80"/>
            </w:pPr>
            <w:r>
              <w:rPr>
                <w:rFonts w:ascii="Arial" w:cs="Arial" w:eastAsia="Arial" w:hAnsi="Arial"/>
                <w:color w:val="000000"/>
                <w:sz w:val="20"/>
                <w:szCs w:val="20"/>
              </w:rPr>
              <w:t xml:space="preserve">Ending cash March 31: $23K. Net monthly burn: $73K. $125K OC angel received morning of April 7 call — current cash ~$148K (~6 weeks runway).</w:t>
            </w:r>
          </w:p>
          <w:p>
            <w:pPr>
              <w:spacing w:after="80"/>
            </w:pPr>
            <w:r>
              <w:rPr>
                <w:rFonts w:ascii="Arial" w:cs="Arial" w:eastAsia="Arial" w:hAnsi="Arial"/>
                <w:color w:val="000000"/>
                <w:sz w:val="20"/>
                <w:szCs w:val="20"/>
              </w:rPr>
              <w:t xml:space="preserve"/>
            </w:r>
          </w:p>
          <w:p>
            <w:pPr>
              <w:spacing w:after="80"/>
            </w:pPr>
            <w:r>
              <w:rPr>
                <w:rFonts w:ascii="Arial" w:cs="Arial" w:eastAsia="Arial" w:hAnsi="Arial"/>
                <w:color w:val="000000"/>
                <w:sz w:val="20"/>
                <w:szCs w:val="20"/>
              </w:rPr>
              <w:t xml:space="preserve">"This morning we received another $125,000 from another investor. So our cash as of today is $328,000." [Note: $23K + $125K = ~$148K; discrepancy in stated figure warrants clarification.]</w:t>
            </w:r>
          </w:p>
          <w:p>
            <w:pPr>
              <w:spacing w:after="80"/>
            </w:pPr>
            <w:r>
              <w:rPr>
                <w:rFonts w:ascii="Arial" w:cs="Arial" w:eastAsia="Arial" w:hAnsi="Arial"/>
                <w:color w:val="000000"/>
                <w:sz w:val="20"/>
                <w:szCs w:val="20"/>
              </w:rPr>
              <w:t xml:space="preserve"/>
            </w:r>
          </w:p>
          <w:p>
            <w:pPr>
              <w:spacing/>
            </w:pPr>
            <w:r>
              <w:rPr>
                <w:rFonts w:ascii="Arial" w:cs="Arial" w:eastAsia="Arial" w:hAnsi="Arial"/>
                <w:color w:val="000000"/>
                <w:sz w:val="20"/>
                <w:szCs w:val="20"/>
              </w:rPr>
              <w:t xml:space="preserve">Kev in (NWA): "I myself am a bit concerned just about runway."</w:t>
            </w:r>
          </w:p>
        </w:tc>
        <w:tc>
          <w:tcPr>
            <w:tcW w:type="dxa" w:w="36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pPr>
            <w:r>
              <w:rPr>
                <w:rFonts w:ascii="Arial" w:cs="Arial" w:eastAsia="Arial" w:hAnsi="Arial"/>
                <w:color w:val="000000"/>
                <w:sz w:val="20"/>
                <w:szCs w:val="20"/>
              </w:rPr>
              <w:t xml:space="preserve">Company is in survival mode. The bridge close (now targeting $1M, currently at $585K) must complete by June or the financial model collapses before a VC raise is possible. This is no longer a runway risk — it is an immediate solvency risk. Needs urgent resolution before NWAi IC recommendation.</w:t>
            </w:r>
          </w:p>
        </w:tc>
      </w:tr>
      <w:tr>
        <w:tc>
          <w:tcPr>
            <w:tcW w:type="dxa" w:w="17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top"/>
          </w:tcPr>
          <w:p>
            <w:pPr>
              <w:spacing w:after="60"/>
            </w:pPr>
            <w:r>
              <w:rPr>
                <w:rFonts w:ascii="Arial" w:cs="Arial" w:eastAsia="Arial" w:hAnsi="Arial"/>
                <w:b/>
                <w:bCs/>
                <w:color w:val="000000"/>
                <w:sz w:val="19"/>
                <w:szCs w:val="19"/>
              </w:rPr>
              <w:t xml:space="preserve">❌ CRITICAL</w:t>
            </w:r>
          </w:p>
          <w:p>
            <w:pPr>
              <w:spacing/>
            </w:pPr>
            <w:r>
              <w:rPr>
                <w:rFonts w:ascii="Arial" w:cs="Arial" w:eastAsia="Arial" w:hAnsi="Arial"/>
                <w:b w:val="false"/>
                <w:bCs w:val="false"/>
                <w:color w:val="000000"/>
                <w:sz w:val="18"/>
                <w:szCs w:val="18"/>
              </w:rPr>
              <w:t xml:space="preserve">Panasonic Contract Is a 6-Month Test — Expires June 5, 2026</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80"/>
            </w:pPr>
            <w:r>
              <w:rPr>
                <w:rFonts w:ascii="Arial" w:cs="Arial" w:eastAsia="Arial" w:hAnsi="Arial"/>
                <w:color w:val="000000"/>
                <w:sz w:val="20"/>
                <w:szCs w:val="20"/>
              </w:rPr>
              <w:t xml:space="preserve">Review of the executed Panasonic Resale and Distribution Agreement (signed Dec 7-15, 2025) reveals:</w:t>
            </w:r>
          </w:p>
          <w:p>
            <w:pPr>
              <w:spacing w:after="80"/>
            </w:pPr>
            <w:r>
              <w:rPr>
                <w:rFonts w:ascii="Arial" w:cs="Arial" w:eastAsia="Arial" w:hAnsi="Arial"/>
                <w:color w:val="000000"/>
                <w:sz w:val="20"/>
                <w:szCs w:val="20"/>
              </w:rPr>
              <w:t xml:space="preserve"/>
            </w:r>
          </w:p>
          <w:p>
            <w:pPr>
              <w:spacing w:after="80"/>
            </w:pPr>
            <w:r>
              <w:rPr>
                <w:rFonts w:ascii="Arial" w:cs="Arial" w:eastAsia="Arial" w:hAnsi="Arial"/>
                <w:color w:val="000000"/>
                <w:sz w:val="20"/>
                <w:szCs w:val="20"/>
              </w:rPr>
              <w:t xml:space="preserve">Section 2.1: "This Agreement shall continue for a period of six (6) months from the Effective Date."</w:t>
            </w:r>
          </w:p>
          <w:p>
            <w:pPr>
              <w:spacing w:after="80"/>
            </w:pPr>
            <w:r>
              <w:rPr>
                <w:rFonts w:ascii="Arial" w:cs="Arial" w:eastAsia="Arial" w:hAnsi="Arial"/>
                <w:color w:val="000000"/>
                <w:sz w:val="20"/>
                <w:szCs w:val="20"/>
              </w:rPr>
              <w:t xml:space="preserve"/>
            </w:r>
          </w:p>
          <w:p>
            <w:pPr>
              <w:spacing w:after="80"/>
            </w:pPr>
            <w:r>
              <w:rPr>
                <w:rFonts w:ascii="Arial" w:cs="Arial" w:eastAsia="Arial" w:hAnsi="Arial"/>
                <w:color w:val="000000"/>
                <w:sz w:val="20"/>
                <w:szCs w:val="20"/>
              </w:rPr>
              <w:t xml:space="preserve">Exhibit A success metric: "The test shall be deemed a success if PPNDA sales can close a total of 10 projects (4-8 licenses) with a total of approximately 80 licenses."</w:t>
            </w:r>
          </w:p>
          <w:p>
            <w:pPr>
              <w:spacing w:after="80"/>
            </w:pPr>
            <w:r>
              <w:rPr>
                <w:rFonts w:ascii="Arial" w:cs="Arial" w:eastAsia="Arial" w:hAnsi="Arial"/>
                <w:color w:val="000000"/>
                <w:sz w:val="20"/>
                <w:szCs w:val="20"/>
              </w:rPr>
              <w:t xml:space="preserve"/>
            </w:r>
          </w:p>
          <w:p>
            <w:pPr>
              <w:spacing w:after="80"/>
            </w:pPr>
            <w:r>
              <w:rPr>
                <w:rFonts w:ascii="Arial" w:cs="Arial" w:eastAsia="Arial" w:hAnsi="Arial"/>
                <w:color w:val="000000"/>
                <w:sz w:val="20"/>
                <w:szCs w:val="20"/>
              </w:rPr>
              <w:t xml:space="preserve">Exhibit A post-test: "At the end of the Term (test period), the parties will discuss and evaluate together whether it makes sense for both companies to enter into a formal long-term business relationship."</w:t>
            </w:r>
          </w:p>
          <w:p>
            <w:pPr>
              <w:spacing w:after="80"/>
            </w:pPr>
            <w:r>
              <w:rPr>
                <w:rFonts w:ascii="Arial" w:cs="Arial" w:eastAsia="Arial" w:hAnsi="Arial"/>
                <w:color w:val="000000"/>
                <w:sz w:val="20"/>
                <w:szCs w:val="20"/>
              </w:rPr>
              <w:t xml:space="preserve"/>
            </w:r>
          </w:p>
          <w:p>
            <w:pPr>
              <w:spacing w:after="80"/>
            </w:pPr>
            <w:r>
              <w:rPr>
                <w:rFonts w:ascii="Arial" w:cs="Arial" w:eastAsia="Arial" w:hAnsi="Arial"/>
                <w:color w:val="000000"/>
                <w:sz w:val="20"/>
                <w:szCs w:val="20"/>
              </w:rPr>
              <w:t xml:space="preserve">KPIs: Target 20 + 20 Rental &amp; Staging customers, close 10-12.</w:t>
            </w:r>
          </w:p>
          <w:p>
            <w:pPr>
              <w:spacing w:after="80"/>
            </w:pPr>
            <w:r>
              <w:rPr>
                <w:rFonts w:ascii="Arial" w:cs="Arial" w:eastAsia="Arial" w:hAnsi="Arial"/>
                <w:color w:val="000000"/>
                <w:sz w:val="20"/>
                <w:szCs w:val="20"/>
              </w:rPr>
              <w:t xml:space="preserve"/>
            </w:r>
          </w:p>
          <w:p>
            <w:pPr>
              <w:spacing/>
            </w:pPr>
            <w:r>
              <w:rPr>
                <w:rFonts w:ascii="Arial" w:cs="Arial" w:eastAsia="Arial" w:hAnsi="Arial"/>
                <w:color w:val="000000"/>
                <w:sz w:val="20"/>
                <w:szCs w:val="20"/>
              </w:rPr>
              <w:t xml:space="preserve">As of April 7: ZERO projects closed, ZERO licenses sold. Test period expires in ~8 weeks.</w:t>
            </w:r>
          </w:p>
        </w:tc>
        <w:tc>
          <w:tcPr>
            <w:tcW w:type="dxa" w:w="36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pPr>
            <w:r>
              <w:rPr>
                <w:rFonts w:ascii="Arial" w:cs="Arial" w:eastAsia="Arial" w:hAnsi="Arial"/>
                <w:color w:val="000000"/>
                <w:sz w:val="20"/>
                <w:szCs w:val="20"/>
              </w:rPr>
              <w:t xml:space="preserve">This is the single most material finding in this diligence cycle. The CEO presented the Panasonic deal as 'signed a contract of selling 82 projectors' — framing it as a purchase commitment. The contract is a 6-month test period with no purchase obligation. The 80 licenses is the SUCCESS THRESHOLD, not a guaranteed order. If the test fails or expires without renewal, there is no Panasonic channel revenue — period. The entire 12-month financial model (80 Panasonic projectors across Q2-Q4) rests on a test agreement that expires in June with zero results. This must be directly addressed with STL before any IC recommendation. 🔴 CRITICAL — reframes the Panasonic thesis from 'channel execution risk' to 'channel existence risk.'</w:t>
            </w:r>
          </w:p>
        </w:tc>
      </w:tr>
      <w:tr>
        <w:tc>
          <w:tcPr>
            <w:tcW w:type="dxa" w:w="17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top"/>
          </w:tcPr>
          <w:p>
            <w:pPr>
              <w:spacing w:after="60"/>
            </w:pPr>
            <w:r>
              <w:rPr>
                <w:rFonts w:ascii="Arial" w:cs="Arial" w:eastAsia="Arial" w:hAnsi="Arial"/>
                <w:b/>
                <w:bCs/>
                <w:color w:val="000000"/>
                <w:sz w:val="19"/>
                <w:szCs w:val="19"/>
              </w:rPr>
              <w:t xml:space="preserve">🔴 CONFIRMED RISK</w:t>
            </w:r>
          </w:p>
          <w:p>
            <w:pPr>
              <w:spacing/>
            </w:pPr>
            <w:r>
              <w:rPr>
                <w:rFonts w:ascii="Arial" w:cs="Arial" w:eastAsia="Arial" w:hAnsi="Arial"/>
                <w:b w:val="false"/>
                <w:bCs w:val="false"/>
                <w:color w:val="000000"/>
                <w:sz w:val="18"/>
                <w:szCs w:val="18"/>
              </w:rPr>
              <w:t xml:space="preserve">Panasonic: $0 Revenue in Q1 of Test Period</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80"/>
            </w:pPr>
            <w:r>
              <w:rPr>
                <w:rFonts w:ascii="Arial" w:cs="Arial" w:eastAsia="Arial" w:hAnsi="Arial"/>
                <w:color w:val="000000"/>
                <w:sz w:val="20"/>
                <w:szCs w:val="20"/>
              </w:rPr>
              <w:t xml:space="preserve">Q1 revenue came entirely from NPIAB/Walkio project ($13,770 recognized, $23K+ received upfront). Panasonic spent Q1 training their 20-person sales team and setting up SAP integration.</w:t>
            </w:r>
          </w:p>
          <w:p>
            <w:pPr>
              <w:spacing w:after="80"/>
            </w:pPr>
            <w:r>
              <w:rPr>
                <w:rFonts w:ascii="Arial" w:cs="Arial" w:eastAsia="Arial" w:hAnsi="Arial"/>
                <w:color w:val="000000"/>
                <w:sz w:val="20"/>
                <w:szCs w:val="20"/>
              </w:rPr>
              <w:t xml:space="preserve"/>
            </w:r>
          </w:p>
          <w:p>
            <w:pPr>
              <w:spacing w:after="80"/>
            </w:pPr>
            <w:r>
              <w:rPr>
                <w:rFonts w:ascii="Arial" w:cs="Arial" w:eastAsia="Arial" w:hAnsi="Arial"/>
                <w:color w:val="000000"/>
                <w:sz w:val="20"/>
                <w:szCs w:val="20"/>
              </w:rPr>
              <w:t xml:space="preserve">NWA: "It sounds like none of this came from Panasonic. Did I understand that right?"</w:t>
            </w:r>
          </w:p>
          <w:p>
            <w:pPr>
              <w:spacing w:after="80"/>
            </w:pPr>
            <w:r>
              <w:rPr>
                <w:rFonts w:ascii="Arial" w:cs="Arial" w:eastAsia="Arial" w:hAnsi="Arial"/>
                <w:color w:val="000000"/>
                <w:sz w:val="20"/>
                <w:szCs w:val="20"/>
              </w:rPr>
              <w:t xml:space="preserve">CEO: "Correct. Correct. You are absolutely right."</w:t>
            </w:r>
          </w:p>
          <w:p>
            <w:pPr>
              <w:spacing w:after="80"/>
            </w:pPr>
            <w:r>
              <w:rPr>
                <w:rFonts w:ascii="Arial" w:cs="Arial" w:eastAsia="Arial" w:hAnsi="Arial"/>
                <w:color w:val="000000"/>
                <w:sz w:val="20"/>
                <w:szCs w:val="20"/>
              </w:rPr>
              <w:t xml:space="preserve"/>
            </w:r>
          </w:p>
          <w:p>
            <w:pPr>
              <w:spacing w:after="80"/>
            </w:pPr>
            <w:r>
              <w:rPr>
                <w:rFonts w:ascii="Arial" w:cs="Arial" w:eastAsia="Arial" w:hAnsi="Arial"/>
                <w:color w:val="000000"/>
                <w:sz w:val="20"/>
                <w:szCs w:val="20"/>
              </w:rPr>
              <w:t xml:space="preserve">Q2 is declared as the first expected Panasonic revenue quarter. Global rollout (Europe/APAC) pushed to 2027.</w:t>
            </w:r>
          </w:p>
          <w:p>
            <w:pPr>
              <w:spacing w:after="80"/>
            </w:pPr>
            <w:r>
              <w:rPr>
                <w:rFonts w:ascii="Arial" w:cs="Arial" w:eastAsia="Arial" w:hAnsi="Arial"/>
                <w:color w:val="000000"/>
                <w:sz w:val="20"/>
                <w:szCs w:val="20"/>
              </w:rPr>
              <w:t xml:space="preserve"/>
            </w:r>
          </w:p>
          <w:p>
            <w:pPr>
              <w:spacing/>
            </w:pPr>
            <w:r>
              <w:rPr>
                <w:rFonts w:ascii="Arial" w:cs="Arial" w:eastAsia="Arial" w:hAnsi="Arial"/>
                <w:color w:val="000000"/>
                <w:sz w:val="20"/>
                <w:szCs w:val="20"/>
              </w:rPr>
              <w:t xml:space="preserve">AMC pricing discrepancy: Contract states $1,000/license/year. Transcript states '$2,500 AMC for 5 years.' These do not reconcile and affect revenue projections.</w:t>
            </w:r>
          </w:p>
        </w:tc>
        <w:tc>
          <w:tcPr>
            <w:tcW w:type="dxa" w:w="36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pPr>
            <w:r>
              <w:rPr>
                <w:rFonts w:ascii="Arial" w:cs="Arial" w:eastAsia="Arial" w:hAnsi="Arial"/>
                <w:color w:val="000000"/>
                <w:sz w:val="20"/>
                <w:szCs w:val="20"/>
              </w:rPr>
              <w:t xml:space="preserve">The test period is half over with zero results. Scout flagged Panasonic as single-point-of-failure GTM risk — now confirmed at the structural level: the channel relationship itself has a contractual expiration date. The AMC pricing discrepancy ($1K/yr contract vs. $2.5K/5yr transcript vs. $500/yr implied) must be resolved — it affects both per-unit revenue and the upfront cash collection thesis that funds runway. 🔴 Prior hypothesis confirmed and escalated.</w:t>
            </w:r>
          </w:p>
        </w:tc>
      </w:tr>
      <w:tr>
        <w:tc>
          <w:tcPr>
            <w:tcW w:type="dxa" w:w="17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top"/>
          </w:tcPr>
          <w:p>
            <w:pPr>
              <w:spacing w:after="60"/>
            </w:pPr>
            <w:r>
              <w:rPr>
                <w:rFonts w:ascii="Arial" w:cs="Arial" w:eastAsia="Arial" w:hAnsi="Arial"/>
                <w:b/>
                <w:bCs/>
                <w:color w:val="000000"/>
                <w:sz w:val="19"/>
                <w:szCs w:val="19"/>
              </w:rPr>
              <w:t xml:space="preserve">Financial Model: Conservative Framing, Concentrated Risk</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80"/>
            </w:pPr>
            <w:r>
              <w:rPr>
                <w:rFonts w:ascii="Arial" w:cs="Arial" w:eastAsia="Arial" w:hAnsi="Arial"/>
                <w:color w:val="000000"/>
                <w:sz w:val="20"/>
                <w:szCs w:val="20"/>
              </w:rPr>
              <w:t xml:space="preserve">12-month projections use only two contracts: Panasonic (80 projectors, ~3 qtrs) + NPIAB (72 projectors, Oct–Dec). Revenue per projector: $2,182 license + $2,500 AMC (5-yr upfront) + $1,000 implementation.</w:t>
            </w:r>
          </w:p>
          <w:p>
            <w:pPr>
              <w:spacing w:after="80"/>
            </w:pPr>
            <w:r>
              <w:rPr>
                <w:rFonts w:ascii="Arial" w:cs="Arial" w:eastAsia="Arial" w:hAnsi="Arial"/>
                <w:color w:val="000000"/>
                <w:sz w:val="20"/>
                <w:szCs w:val="20"/>
              </w:rPr>
              <w:t xml:space="preserve"/>
            </w:r>
          </w:p>
          <w:p>
            <w:pPr>
              <w:spacing w:after="80"/>
            </w:pPr>
            <w:r>
              <w:rPr>
                <w:rFonts w:ascii="Arial" w:cs="Arial" w:eastAsia="Arial" w:hAnsi="Arial"/>
                <w:color w:val="000000"/>
                <w:sz w:val="20"/>
                <w:szCs w:val="20"/>
              </w:rPr>
              <w:t xml:space="preserve">CP: "We have taken only the two signed contracts... just to be on the conservative side."</w:t>
            </w:r>
          </w:p>
          <w:p>
            <w:pPr>
              <w:spacing w:after="80"/>
            </w:pPr>
            <w:r>
              <w:rPr>
                <w:rFonts w:ascii="Arial" w:cs="Arial" w:eastAsia="Arial" w:hAnsi="Arial"/>
                <w:color w:val="000000"/>
                <w:sz w:val="20"/>
                <w:szCs w:val="20"/>
              </w:rPr>
              <w:t xml:space="preserve"/>
            </w:r>
          </w:p>
          <w:p>
            <w:pPr>
              <w:spacing/>
            </w:pPr>
            <w:r>
              <w:rPr>
                <w:rFonts w:ascii="Arial" w:cs="Arial" w:eastAsia="Arial" w:hAnsi="Arial"/>
                <w:color w:val="000000"/>
                <w:sz w:val="20"/>
                <w:szCs w:val="20"/>
              </w:rPr>
              <w:t xml:space="preserve">Cash flow neutral target: Q4 2026 (if both contracts execute + AMC cash collected upfront). VC raise target: Q1 2027. Three VC milestones defined: completed contracts, repeatable GTM, $3M qualified pipeline.</w:t>
            </w:r>
          </w:p>
        </w:tc>
        <w:tc>
          <w:tcPr>
            <w:tcW w:type="dxa" w:w="36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pPr>
            <w:r>
              <w:rPr>
                <w:rFonts w:ascii="Arial" w:cs="Arial" w:eastAsia="Arial" w:hAnsi="Arial"/>
                <w:color w:val="000000"/>
                <w:sz w:val="20"/>
                <w:szCs w:val="20"/>
              </w:rPr>
              <w:t xml:space="preserve">The model is internally consistent and the conservative framing (no new partners in projections) is credible. But the concentration is extreme — a slip in either contract destroys the runway bridge to the VC raise. The deferred revenue mechanic (5-yr AMC upfront) is the cash flow lifeline; if Panasonic deals slip to Q3 instead of Q2, the cash neutral date moves and survival requires more bridge capital. 🟡 Partially addressed; requires Q2 execution confirmation.</w:t>
            </w:r>
          </w:p>
        </w:tc>
      </w:tr>
      <w:tr>
        <w:tc>
          <w:tcPr>
            <w:tcW w:type="dxa" w:w="17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top"/>
          </w:tcPr>
          <w:p>
            <w:pPr>
              <w:spacing w:after="60"/>
            </w:pPr>
            <w:r>
              <w:rPr>
                <w:rFonts w:ascii="Arial" w:cs="Arial" w:eastAsia="Arial" w:hAnsi="Arial"/>
                <w:b/>
                <w:bCs/>
                <w:color w:val="000000"/>
                <w:sz w:val="19"/>
                <w:szCs w:val="19"/>
              </w:rPr>
              <w:t xml:space="preserve">GTM Pipeline: Right Names, No Near-Term Revenue</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80"/>
            </w:pPr>
            <w:r>
              <w:rPr>
                <w:rFonts w:ascii="Arial" w:cs="Arial" w:eastAsia="Arial" w:hAnsi="Arial"/>
                <w:color w:val="000000"/>
                <w:sz w:val="20"/>
                <w:szCs w:val="20"/>
              </w:rPr>
              <w:t xml:space="preserve">Active partner pipeline: Optoma (trial kit April, 6–9 month cycle), TechMD/Disney integrator (trial license signed), Epson (golf simulator market), Sony (seed interest expressed, stated same VC milestones), PRG (most advanced — rental model pricing under review, LED panel test April).</w:t>
            </w:r>
          </w:p>
          <w:p>
            <w:pPr>
              <w:spacing w:after="80"/>
            </w:pPr>
            <w:r>
              <w:rPr>
                <w:rFonts w:ascii="Arial" w:cs="Arial" w:eastAsia="Arial" w:hAnsi="Arial"/>
                <w:color w:val="000000"/>
                <w:sz w:val="20"/>
                <w:szCs w:val="20"/>
              </w:rPr>
              <w:t xml:space="preserve"/>
            </w:r>
          </w:p>
          <w:p>
            <w:pPr>
              <w:spacing w:after="80"/>
            </w:pPr>
            <w:r>
              <w:rPr>
                <w:rFonts w:ascii="Arial" w:cs="Arial" w:eastAsia="Arial" w:hAnsi="Arial"/>
                <w:color w:val="000000"/>
                <w:sz w:val="20"/>
                <w:szCs w:val="20"/>
              </w:rPr>
              <w:t xml:space="preserve">VP Sales hired Feb 2026, $140K + 10% commission. Has set up HubSpot CRM, conducting demos at Solo Tech, Hard Rock, Casinos. No partner contracts closed.</w:t>
            </w:r>
          </w:p>
          <w:p>
            <w:pPr>
              <w:spacing w:after="80"/>
            </w:pPr>
            <w:r>
              <w:rPr>
                <w:rFonts w:ascii="Arial" w:cs="Arial" w:eastAsia="Arial" w:hAnsi="Arial"/>
                <w:color w:val="000000"/>
                <w:sz w:val="20"/>
                <w:szCs w:val="20"/>
              </w:rPr>
              <w:t xml:space="preserve"/>
            </w:r>
          </w:p>
          <w:p>
            <w:pPr>
              <w:spacing/>
            </w:pPr>
            <w:r>
              <w:rPr>
                <w:rFonts w:ascii="Arial" w:cs="Arial" w:eastAsia="Arial" w:hAnsi="Arial"/>
                <w:color w:val="000000"/>
                <w:sz w:val="20"/>
                <w:szCs w:val="20"/>
              </w:rPr>
              <w:t xml:space="preserve">Trial kit innovation ($10K per kit) addresses trial friction bottleneck. Conversion metrics not yet established.</w:t>
            </w:r>
          </w:p>
        </w:tc>
        <w:tc>
          <w:tcPr>
            <w:tcW w:type="dxa" w:w="36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pPr>
            <w:r>
              <w:rPr>
                <w:rFonts w:ascii="Arial" w:cs="Arial" w:eastAsia="Arial" w:hAnsi="Arial"/>
                <w:color w:val="000000"/>
                <w:sz w:val="20"/>
                <w:szCs w:val="20"/>
              </w:rPr>
              <w:t xml:space="preserve">Pipeline is directionally strong — PRG, TechMD, and Optoma are the right names. But with 6–9 month sales cycles, none of these produce 2026 revenue in the model. VP Sales is 2 months in with no closed deals. The HubSpot setup is a positive infrastructure signal, but there is no closed partner revenue to validate the GTM thesis yet. NWA team requested full HubSpot dashboard — this must be provided before IC. 🟡 Channel thesis directionally intact, execution unproven.</w:t>
            </w:r>
          </w:p>
        </w:tc>
      </w:tr>
      <w:tr>
        <w:tc>
          <w:tcPr>
            <w:tcW w:type="dxa" w:w="17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top"/>
          </w:tcPr>
          <w:p>
            <w:pPr>
              <w:spacing w:after="60"/>
            </w:pPr>
            <w:r>
              <w:rPr>
                <w:rFonts w:ascii="Arial" w:cs="Arial" w:eastAsia="Arial" w:hAnsi="Arial"/>
                <w:b/>
                <w:bCs/>
                <w:color w:val="000000"/>
                <w:sz w:val="19"/>
                <w:szCs w:val="19"/>
              </w:rPr>
              <w:t xml:space="preserve">Data Room Incomplete — Explicitly Flagged</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80"/>
            </w:pPr>
            <w:r>
              <w:rPr>
                <w:rFonts w:ascii="Arial" w:cs="Arial" w:eastAsia="Arial" w:hAnsi="Arial"/>
                <w:color w:val="000000"/>
                <w:sz w:val="20"/>
                <w:szCs w:val="20"/>
              </w:rPr>
              <w:t xml:space="preserve">NWA team raised data room gaps directly:</w:t>
            </w:r>
          </w:p>
          <w:p>
            <w:pPr>
              <w:spacing w:after="80"/>
            </w:pPr>
            <w:r>
              <w:rPr>
                <w:rFonts w:ascii="Arial" w:cs="Arial" w:eastAsia="Arial" w:hAnsi="Arial"/>
                <w:color w:val="000000"/>
                <w:sz w:val="20"/>
                <w:szCs w:val="20"/>
              </w:rPr>
              <w:t xml:space="preserve">- Updated cap table (new investors/notes since Dec 2025 not reflected)</w:t>
            </w:r>
          </w:p>
          <w:p>
            <w:pPr>
              <w:spacing w:after="80"/>
            </w:pPr>
            <w:r>
              <w:rPr>
                <w:rFonts w:ascii="Arial" w:cs="Arial" w:eastAsia="Arial" w:hAnsi="Arial"/>
                <w:color w:val="000000"/>
                <w:sz w:val="20"/>
                <w:szCs w:val="20"/>
              </w:rPr>
              <w:t xml:space="preserve">- Employment agreements (not yet uploaded)</w:t>
            </w:r>
          </w:p>
          <w:p>
            <w:pPr>
              <w:spacing w:after="80"/>
            </w:pPr>
            <w:r>
              <w:rPr>
                <w:rFonts w:ascii="Arial" w:cs="Arial" w:eastAsia="Arial" w:hAnsi="Arial"/>
                <w:color w:val="000000"/>
                <w:sz w:val="20"/>
                <w:szCs w:val="20"/>
              </w:rPr>
              <w:t xml:space="preserve">- Key man insurance (not in place)</w:t>
            </w:r>
          </w:p>
          <w:p>
            <w:pPr>
              <w:spacing w:after="80"/>
            </w:pPr>
            <w:r>
              <w:rPr>
                <w:rFonts w:ascii="Arial" w:cs="Arial" w:eastAsia="Arial" w:hAnsi="Arial"/>
                <w:color w:val="000000"/>
                <w:sz w:val="20"/>
                <w:szCs w:val="20"/>
              </w:rPr>
              <w:t xml:space="preserve">- Full financial statements (income statement, balance sheet, cash flow)</w:t>
            </w:r>
          </w:p>
          <w:p>
            <w:pPr>
              <w:spacing w:after="80"/>
            </w:pPr>
            <w:r>
              <w:rPr>
                <w:rFonts w:ascii="Arial" w:cs="Arial" w:eastAsia="Arial" w:hAnsi="Arial"/>
                <w:color w:val="000000"/>
                <w:sz w:val="20"/>
                <w:szCs w:val="20"/>
              </w:rPr>
              <w:t xml:space="preserve">- HubSpot pipeline dashboard</w:t>
            </w:r>
          </w:p>
          <w:p>
            <w:pPr>
              <w:spacing w:after="80"/>
            </w:pPr>
            <w:r>
              <w:rPr>
                <w:rFonts w:ascii="Arial" w:cs="Arial" w:eastAsia="Arial" w:hAnsi="Arial"/>
                <w:color w:val="000000"/>
                <w:sz w:val="20"/>
                <w:szCs w:val="20"/>
              </w:rPr>
              <w:t xml:space="preserve"/>
            </w:r>
          </w:p>
          <w:p>
            <w:pPr>
              <w:spacing w:after="80"/>
            </w:pPr>
            <w:r>
              <w:rPr>
                <w:rFonts w:ascii="Arial" w:cs="Arial" w:eastAsia="Arial" w:hAnsi="Arial"/>
                <w:color w:val="000000"/>
                <w:sz w:val="20"/>
                <w:szCs w:val="20"/>
              </w:rPr>
              <w:t xml:space="preserve">STL response: "If you send us a list of things, we will put it in... No problem."</w:t>
            </w:r>
          </w:p>
          <w:p>
            <w:pPr>
              <w:spacing w:after="80"/>
            </w:pPr>
            <w:r>
              <w:rPr>
                <w:rFonts w:ascii="Arial" w:cs="Arial" w:eastAsia="Arial" w:hAnsi="Arial"/>
                <w:color w:val="000000"/>
                <w:sz w:val="20"/>
                <w:szCs w:val="20"/>
              </w:rPr>
              <w:t xml:space="preserve"/>
            </w:r>
          </w:p>
          <w:p>
            <w:pPr>
              <w:spacing/>
            </w:pPr>
            <w:r>
              <w:rPr>
                <w:rFonts w:ascii="Arial" w:cs="Arial" w:eastAsia="Arial" w:hAnsi="Arial"/>
                <w:color w:val="000000"/>
                <w:sz w:val="20"/>
                <w:szCs w:val="20"/>
              </w:rPr>
              <w:t xml:space="preserve">Stephen Clark: 6.6% FD (common, vested, consulting/defense adviser, success-fee only going forward).</w:t>
            </w:r>
          </w:p>
        </w:tc>
        <w:tc>
          <w:tcPr>
            <w:tcW w:type="dxa" w:w="36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pPr>
            <w:r>
              <w:rPr>
                <w:rFonts w:ascii="Arial" w:cs="Arial" w:eastAsia="Arial" w:hAnsi="Arial"/>
                <w:color w:val="000000"/>
                <w:sz w:val="20"/>
                <w:szCs w:val="20"/>
              </w:rPr>
              <w:t xml:space="preserve">Data room is materially incomplete for a deal at pre-IC stage. Every missing item is IC-relevant. Key man insurance absence is notable — institutional money will require it. Updated cap table is required to confirm current fully diluted ownership and note obligations. NWA's Bahar to send STL a comprehensive list. No IC recommendation until data room is closed. 🔴 OPEN — blocks decision.</w:t>
            </w:r>
          </w:p>
        </w:tc>
      </w:tr>
      <w:tr>
        <w:tc>
          <w:tcPr>
            <w:tcW w:type="dxa" w:w="17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top"/>
          </w:tcPr>
          <w:p>
            <w:pPr>
              <w:spacing w:after="60"/>
            </w:pPr>
            <w:r>
              <w:rPr>
                <w:rFonts w:ascii="Arial" w:cs="Arial" w:eastAsia="Arial" w:hAnsi="Arial"/>
                <w:b/>
                <w:bCs/>
                <w:color w:val="000000"/>
                <w:sz w:val="19"/>
                <w:szCs w:val="19"/>
              </w:rPr>
              <w:t xml:space="preserve">Defense + Non-Dilutive Upside Real But Not Modeled</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80"/>
            </w:pPr>
            <w:r>
              <w:rPr>
                <w:rFonts w:ascii="Arial" w:cs="Arial" w:eastAsia="Arial" w:hAnsi="Arial"/>
                <w:color w:val="000000"/>
                <w:sz w:val="20"/>
                <w:szCs w:val="20"/>
              </w:rPr>
              <w:t xml:space="preserve">SBIR Phase 1 pending (~$75K); strong Phase 2 conversion history ($1.25–1.75M per award). Naval warfare information command CRAR signed. US Army BAA discussions active. Defense adviser is 2-star major general (32 yrs USAF).</w:t>
            </w:r>
          </w:p>
          <w:p>
            <w:pPr>
              <w:spacing w:after="80"/>
            </w:pPr>
            <w:r>
              <w:rPr>
                <w:rFonts w:ascii="Arial" w:cs="Arial" w:eastAsia="Arial" w:hAnsi="Arial"/>
                <w:color w:val="000000"/>
                <w:sz w:val="20"/>
                <w:szCs w:val="20"/>
              </w:rPr>
              <w:t xml:space="preserve"/>
            </w:r>
          </w:p>
          <w:p>
            <w:pPr>
              <w:spacing w:after="80"/>
            </w:pPr>
            <w:r>
              <w:rPr>
                <w:rFonts w:ascii="Arial" w:cs="Arial" w:eastAsia="Arial" w:hAnsi="Arial"/>
                <w:color w:val="000000"/>
                <w:sz w:val="20"/>
                <w:szCs w:val="20"/>
              </w:rPr>
              <w:t xml:space="preserve">Sony expressed interest in seed round participation (alongside stated same VC milestones).</w:t>
            </w:r>
          </w:p>
          <w:p>
            <w:pPr>
              <w:spacing w:after="80"/>
            </w:pPr>
            <w:r>
              <w:rPr>
                <w:rFonts w:ascii="Arial" w:cs="Arial" w:eastAsia="Arial" w:hAnsi="Arial"/>
                <w:color w:val="000000"/>
                <w:sz w:val="20"/>
                <w:szCs w:val="20"/>
              </w:rPr>
              <w:t xml:space="preserve"/>
            </w:r>
          </w:p>
          <w:p>
            <w:pPr>
              <w:spacing/>
            </w:pPr>
            <w:r>
              <w:rPr>
                <w:rFonts w:ascii="Arial" w:cs="Arial" w:eastAsia="Arial" w:hAnsi="Arial"/>
                <w:color w:val="000000"/>
                <w:sz w:val="20"/>
                <w:szCs w:val="20"/>
              </w:rPr>
              <w:t xml:space="preserve">NAB Best Startup award won (April 2026 presentation). Symposium of Information Display innovation zone accepted (dynamic surface product launch).</w:t>
            </w:r>
          </w:p>
        </w:tc>
        <w:tc>
          <w:tcPr>
            <w:tcW w:type="dxa" w:w="36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pPr>
            <w:r>
              <w:rPr>
                <w:rFonts w:ascii="Arial" w:cs="Arial" w:eastAsia="Arial" w:hAnsi="Arial"/>
                <w:color w:val="000000"/>
                <w:sz w:val="20"/>
                <w:szCs w:val="20"/>
              </w:rPr>
              <w:t xml:space="preserve">These are genuine upside signals that are correctly excluded from the base case projections. SBIR Phase 2 potential ($1.25M+) could materially extend runway without dilution. Sony strategic interest warrants monitoring. NAB and SID conference presence are appropriate lead-gen investments. These don't change the core thesis but they do widen the safety margin if any mature.</w:t>
            </w:r>
          </w:p>
        </w:tc>
      </w:tr>
    </w:tbl>
    <w:p>
      <w:pPr>
        <w:spacing w:after="200"/>
      </w:pPr>
    </w:p>
    <w:p>
      <w:pPr>
        <w:spacing w:after="120" w:before="160"/>
      </w:pPr>
      <w:r>
        <w:rPr>
          <w:rFonts w:ascii="Arial" w:cs="Arial" w:eastAsia="Arial" w:hAnsi="Arial"/>
          <w:b/>
          <w:bCs/>
          <w:color w:val="1F3864"/>
          <w:sz w:val="24"/>
          <w:szCs w:val="24"/>
        </w:rPr>
        <w:t xml:space="preserve">RESOLVED / OPEN TRACKER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4760"/>
        <w:gridCol w:w="1400"/>
      </w:tblGrid>
      <w:tr>
        <w:tc>
          <w:tcPr>
            <w:tcW w:type="dxa" w:w="4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r>
              <w:rPr>
                <w:rFonts w:ascii="Arial" w:cs="Arial" w:eastAsia="Arial" w:hAnsi="Arial"/>
                <w:b/>
                <w:bCs/>
                <w:color w:val="FFFFFF"/>
                <w:sz w:val="20"/>
                <w:szCs w:val="20"/>
              </w:rPr>
              <w:t xml:space="preserve">#</w:t>
            </w:r>
          </w:p>
        </w:tc>
        <w:tc>
          <w:tcPr>
            <w:tcW w:type="dxa" w:w="28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r>
              <w:rPr>
                <w:rFonts w:ascii="Arial" w:cs="Arial" w:eastAsia="Arial" w:hAnsi="Arial"/>
                <w:b/>
                <w:bCs/>
                <w:color w:val="FFFFFF"/>
                <w:sz w:val="20"/>
                <w:szCs w:val="20"/>
              </w:rPr>
              <w:t xml:space="preserve">Question</w:t>
            </w:r>
          </w:p>
        </w:tc>
        <w:tc>
          <w:tcPr>
            <w:tcW w:type="dxa" w:w="476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r>
              <w:rPr>
                <w:rFonts w:ascii="Arial" w:cs="Arial" w:eastAsia="Arial" w:hAnsi="Arial"/>
                <w:b/>
                <w:bCs/>
                <w:color w:val="FFFFFF"/>
                <w:sz w:val="20"/>
                <w:szCs w:val="20"/>
              </w:rPr>
              <w:t xml:space="preserve">Finding</w:t>
            </w:r>
          </w:p>
        </w:tc>
        <w:tc>
          <w:tcPr>
            <w:tcW w:type="dxa" w:w="14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r>
              <w:rPr>
                <w:rFonts w:ascii="Arial" w:cs="Arial" w:eastAsia="Arial" w:hAnsi="Arial"/>
                <w:b/>
                <w:bCs/>
                <w:color w:val="FFFFFF"/>
                <w:sz w:val="20"/>
                <w:szCs w:val="20"/>
              </w:rPr>
              <w:t xml:space="preserve">Status</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r>
              <w:rPr>
                <w:rFonts w:ascii="Arial" w:cs="Arial" w:eastAsia="Arial" w:hAnsi="Arial"/>
                <w:b/>
                <w:bCs/>
                <w:color w:val="000000"/>
                <w:sz w:val="20"/>
                <w:szCs w:val="20"/>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r>
              <w:rPr>
                <w:rFonts w:ascii="Arial" w:cs="Arial" w:eastAsia="Arial" w:hAnsi="Arial"/>
                <w:b/>
                <w:bCs/>
                <w:color w:val="000000"/>
                <w:sz w:val="20"/>
                <w:szCs w:val="20"/>
              </w:rPr>
              <w:t xml:space="preserve">Is Panasonic a true embedded channel partner or arm's-length co-development?</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r>
              <w:rPr>
                <w:rFonts w:ascii="Arial" w:cs="Arial" w:eastAsia="Arial" w:hAnsi="Arial"/>
                <w:color w:val="000000"/>
                <w:sz w:val="19"/>
                <w:szCs w:val="19"/>
              </w:rPr>
              <w:t xml:space="preserve">Contract review reveals a more fundamental issue: the Panasonic relationship is a 6-month RESALE AND DISTRIBUTION TEST (effective Dec 5, 2025, expires June 5, 2026) with no purchase commitment. PPNDA (Panasonic) is appointed as non-exclusive reseller. Success threshold: 10 projects / ~80 licenses. As of April 7: zero projects closed. Long-term relationship is explicitly contingent on test success. Q1 spent on training and SAP setup; Q2 expected to produce first closed deals. Bi-weekly sales review calls with head of sales North America now active.</w:t>
            </w:r>
          </w:p>
        </w:tc>
        <w:tc>
          <w:tcPr>
            <w:tcW w:type="dxa" w:w="1400"/>
            <w:tcBorders>
              <w:top w:val="single" w:color="CCCCCC" w:sz="1"/>
              <w:left w:val="single" w:color="CCCCCC" w:sz="1"/>
              <w:bottom w:val="single" w:color="CCCCCC" w:sz="1"/>
              <w:right w:val="single" w:color="CCCCCC" w:sz="1"/>
            </w:tcBorders>
            <w:shd w:fill="C00000"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 OPEN</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r>
              <w:rPr>
                <w:rFonts w:ascii="Arial" w:cs="Arial" w:eastAsia="Arial" w:hAnsi="Arial"/>
                <w:b/>
                <w:bCs/>
                <w:color w:val="000000"/>
                <w:sz w:val="20"/>
                <w:szCs w:val="20"/>
              </w:rPr>
              <w:t xml:space="preserve">2</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r>
              <w:rPr>
                <w:rFonts w:ascii="Arial" w:cs="Arial" w:eastAsia="Arial" w:hAnsi="Arial"/>
                <w:b/>
                <w:bCs/>
                <w:color w:val="000000"/>
                <w:sz w:val="20"/>
                <w:szCs w:val="20"/>
              </w:rPr>
              <w:t xml:space="preserve">What is the revenue model — SaaS, services, or mixed?</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r>
              <w:rPr>
                <w:rFonts w:ascii="Arial" w:cs="Arial" w:eastAsia="Arial" w:hAnsi="Arial"/>
                <w:color w:val="000000"/>
                <w:sz w:val="19"/>
                <w:szCs w:val="19"/>
              </w:rPr>
              <w:t xml:space="preserve">Confirmed: 100% software licensing model. Revenue components: (1) license fee per projector ($2,182), (2) 5-year AMC upfront ($2,500/projector), (3) implementation fee ($1,000/projector — covers 0.5–1 day of 2 engineers, remote deployment). No hardware sales. Remote deployment confirmed scalable. 7 engineers currently; only 2 needed for deployments.</w:t>
            </w:r>
          </w:p>
        </w:tc>
        <w:tc>
          <w:tcPr>
            <w:tcW w:type="dxa" w:w="1400"/>
            <w:tcBorders>
              <w:top w:val="single" w:color="CCCCCC" w:sz="1"/>
              <w:left w:val="single" w:color="CCCCCC" w:sz="1"/>
              <w:bottom w:val="single" w:color="CCCCCC" w:sz="1"/>
              <w:right w:val="single" w:color="CCCCCC" w:sz="1"/>
            </w:tcBorders>
            <w:shd w:fill="375623"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 RESOLVED</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r>
              <w:rPr>
                <w:rFonts w:ascii="Arial" w:cs="Arial" w:eastAsia="Arial" w:hAnsi="Arial"/>
                <w:b/>
                <w:bCs/>
                <w:color w:val="000000"/>
                <w:sz w:val="20"/>
                <w:szCs w:val="20"/>
              </w:rPr>
              <w:t xml:space="preserve">3</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r>
              <w:rPr>
                <w:rFonts w:ascii="Arial" w:cs="Arial" w:eastAsia="Arial" w:hAnsi="Arial"/>
                <w:b/>
                <w:bCs/>
                <w:color w:val="000000"/>
                <w:sz w:val="20"/>
                <w:szCs w:val="20"/>
              </w:rPr>
              <w:t xml:space="preserve">Is there a credible lead investor and what is the round structure?</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r>
              <w:rPr>
                <w:rFonts w:ascii="Arial" w:cs="Arial" w:eastAsia="Arial" w:hAnsi="Arial"/>
                <w:color w:val="000000"/>
                <w:sz w:val="19"/>
                <w:szCs w:val="19"/>
              </w:rPr>
              <w:t xml:space="preserve">Golden Seeds confirmed as lead investor. Round targeting $1M (up from original $750K); currently at $585K raised. Mix of convertible notes and SAFEs. Target close: end of Q2 (June 2026). NWAi's SAFE restriction is a structural flag that has not changed — convertible notes are acceptable; SAFE instruments are not per NWAi criteria.</w:t>
            </w:r>
          </w:p>
        </w:tc>
        <w:tc>
          <w:tcPr>
            <w:tcW w:type="dxa" w:w="1400"/>
            <w:tcBorders>
              <w:top w:val="single" w:color="CCCCCC" w:sz="1"/>
              <w:left w:val="single" w:color="CCCCCC" w:sz="1"/>
              <w:bottom w:val="single" w:color="CCCCCC" w:sz="1"/>
              <w:right w:val="single" w:color="CCCCCC" w:sz="1"/>
            </w:tcBorders>
            <w:shd w:fill="FFC000" w:val="clear"/>
            <w:tcMar>
              <w:top w:type="dxa" w:w="100"/>
              <w:left w:type="dxa" w:w="120"/>
              <w:bottom w:type="dxa" w:w="100"/>
              <w:right w:type="dxa" w:w="120"/>
            </w:tcMar>
            <w:vAlign w:val="center"/>
          </w:tcPr>
          <w:p>
            <w:pPr>
              <w:jc w:val="center"/>
            </w:pPr>
            <w:r>
              <w:rPr>
                <w:rFonts w:ascii="Arial" w:cs="Arial" w:eastAsia="Arial" w:hAnsi="Arial"/>
                <w:b/>
                <w:bCs/>
                <w:color w:val="000000"/>
                <w:sz w:val="18"/>
                <w:szCs w:val="18"/>
              </w:rPr>
              <w:t xml:space="preserve">⚠️ PARTIAL</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r>
              <w:rPr>
                <w:rFonts w:ascii="Arial" w:cs="Arial" w:eastAsia="Arial" w:hAnsi="Arial"/>
                <w:b/>
                <w:bCs/>
                <w:color w:val="000000"/>
                <w:sz w:val="20"/>
                <w:szCs w:val="20"/>
              </w:rPr>
              <w:t xml:space="preserve">4</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r>
              <w:rPr>
                <w:rFonts w:ascii="Arial" w:cs="Arial" w:eastAsia="Arial" w:hAnsi="Arial"/>
                <w:b/>
                <w:bCs/>
                <w:color w:val="000000"/>
                <w:sz w:val="20"/>
                <w:szCs w:val="20"/>
              </w:rPr>
              <w:t xml:space="preserve">VP Sales hire — background, metrics, and pipeline discipline?</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r>
              <w:rPr>
                <w:rFonts w:ascii="Arial" w:cs="Arial" w:eastAsia="Arial" w:hAnsi="Arial"/>
                <w:color w:val="000000"/>
                <w:sz w:val="19"/>
                <w:szCs w:val="19"/>
              </w:rPr>
              <w:t xml:space="preserve">VP Sales hired February 2026. Background: startup sales and marketing in video/audio entertainment. Compensation: $140K salary + 10% commission. Focus: channel partner development (not direct sales). CRM: HubSpot now operational. Demos conducted at Solo Tech, Hard Rock Cafe, Casinos. No partner contracts closed as of April 7. NWA requested formal HubSpot pipeline report — STL agreed to provide.</w:t>
            </w:r>
          </w:p>
        </w:tc>
        <w:tc>
          <w:tcPr>
            <w:tcW w:type="dxa" w:w="1400"/>
            <w:tcBorders>
              <w:top w:val="single" w:color="CCCCCC" w:sz="1"/>
              <w:left w:val="single" w:color="CCCCCC" w:sz="1"/>
              <w:bottom w:val="single" w:color="CCCCCC" w:sz="1"/>
              <w:right w:val="single" w:color="CCCCCC" w:sz="1"/>
            </w:tcBorders>
            <w:shd w:fill="FFC000" w:val="clear"/>
            <w:tcMar>
              <w:top w:type="dxa" w:w="100"/>
              <w:left w:type="dxa" w:w="120"/>
              <w:bottom w:type="dxa" w:w="100"/>
              <w:right w:type="dxa" w:w="120"/>
            </w:tcMar>
            <w:vAlign w:val="center"/>
          </w:tcPr>
          <w:p>
            <w:pPr>
              <w:jc w:val="center"/>
            </w:pPr>
            <w:r>
              <w:rPr>
                <w:rFonts w:ascii="Arial" w:cs="Arial" w:eastAsia="Arial" w:hAnsi="Arial"/>
                <w:b/>
                <w:bCs/>
                <w:color w:val="000000"/>
                <w:sz w:val="18"/>
                <w:szCs w:val="18"/>
              </w:rPr>
              <w:t xml:space="preserve">⚠️ PARTIAL</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r>
              <w:rPr>
                <w:rFonts w:ascii="Arial" w:cs="Arial" w:eastAsia="Arial" w:hAnsi="Arial"/>
                <w:b/>
                <w:bCs/>
                <w:color w:val="000000"/>
                <w:sz w:val="20"/>
                <w:szCs w:val="20"/>
              </w:rPr>
              <w:t xml:space="preserve">5</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r>
              <w:rPr>
                <w:rFonts w:ascii="Arial" w:cs="Arial" w:eastAsia="Arial" w:hAnsi="Arial"/>
                <w:b/>
                <w:bCs/>
                <w:color w:val="000000"/>
                <w:sz w:val="20"/>
                <w:szCs w:val="20"/>
              </w:rPr>
              <w:t xml:space="preserve">What is the cap table status including post-December investors?</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r>
              <w:rPr>
                <w:rFonts w:ascii="Arial" w:cs="Arial" w:eastAsia="Arial" w:hAnsi="Arial"/>
                <w:color w:val="000000"/>
                <w:sz w:val="19"/>
                <w:szCs w:val="19"/>
              </w:rPr>
              <w:t xml:space="preserve">Updated cap table not yet in data room. Stephen Clark (senior defense adviser): 6.6% FD, common shares, vested, consulting only — no additional equity, success fee on defense contracts only. Multiple convertible note investors since Dec 2025 not reflected in current cap table. STL agreed to upload updated cap table and all financing documents. Key man insurance: not in place.</w:t>
            </w:r>
          </w:p>
        </w:tc>
        <w:tc>
          <w:tcPr>
            <w:tcW w:type="dxa" w:w="1400"/>
            <w:tcBorders>
              <w:top w:val="single" w:color="CCCCCC" w:sz="1"/>
              <w:left w:val="single" w:color="CCCCCC" w:sz="1"/>
              <w:bottom w:val="single" w:color="CCCCCC" w:sz="1"/>
              <w:right w:val="single" w:color="CCCCCC" w:sz="1"/>
            </w:tcBorders>
            <w:shd w:fill="C00000"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 OPEN</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r>
              <w:rPr>
                <w:rFonts w:ascii="Arial" w:cs="Arial" w:eastAsia="Arial" w:hAnsi="Arial"/>
                <w:b/>
                <w:bCs/>
                <w:color w:val="000000"/>
                <w:sz w:val="20"/>
                <w:szCs w:val="20"/>
              </w:rPr>
              <w:t xml:space="preserve">6</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r>
              <w:rPr>
                <w:rFonts w:ascii="Arial" w:cs="Arial" w:eastAsia="Arial" w:hAnsi="Arial"/>
                <w:b/>
                <w:bCs/>
                <w:color w:val="000000"/>
                <w:sz w:val="20"/>
                <w:szCs w:val="20"/>
              </w:rPr>
              <w:t xml:space="preserve">What is the NPI/NPIAB contract status — LOI or signed contract?</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r>
              <w:rPr>
                <w:rFonts w:ascii="Arial" w:cs="Arial" w:eastAsia="Arial" w:hAnsi="Arial"/>
                <w:color w:val="000000"/>
                <w:sz w:val="19"/>
                <w:szCs w:val="19"/>
              </w:rPr>
              <w:t xml:space="preserve">No single master contract. NPI issues purchase orders on a per-project basis. LOI governs the framework (144 projectors over 2 years, 2026–2027). Actual revenue recognition is PO-by-PO. 2026 commitment: 72 projectors (running behind schedule; modeled as 2 systems each in Oct/Nov/Dec). Slightly weaker than a master contract, but POs are issued per system confirmation.</w:t>
            </w:r>
          </w:p>
        </w:tc>
        <w:tc>
          <w:tcPr>
            <w:tcW w:type="dxa" w:w="1400"/>
            <w:tcBorders>
              <w:top w:val="single" w:color="CCCCCC" w:sz="1"/>
              <w:left w:val="single" w:color="CCCCCC" w:sz="1"/>
              <w:bottom w:val="single" w:color="CCCCCC" w:sz="1"/>
              <w:right w:val="single" w:color="CCCCCC" w:sz="1"/>
            </w:tcBorders>
            <w:shd w:fill="FFC000" w:val="clear"/>
            <w:tcMar>
              <w:top w:type="dxa" w:w="100"/>
              <w:left w:type="dxa" w:w="120"/>
              <w:bottom w:type="dxa" w:w="100"/>
              <w:right w:type="dxa" w:w="120"/>
            </w:tcMar>
            <w:vAlign w:val="center"/>
          </w:tcPr>
          <w:p>
            <w:pPr>
              <w:jc w:val="center"/>
            </w:pPr>
            <w:r>
              <w:rPr>
                <w:rFonts w:ascii="Arial" w:cs="Arial" w:eastAsia="Arial" w:hAnsi="Arial"/>
                <w:b/>
                <w:bCs/>
                <w:color w:val="000000"/>
                <w:sz w:val="18"/>
                <w:szCs w:val="18"/>
              </w:rPr>
              <w:t xml:space="preserve">⚠️ PARTIAL</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r>
              <w:rPr>
                <w:rFonts w:ascii="Arial" w:cs="Arial" w:eastAsia="Arial" w:hAnsi="Arial"/>
                <w:b/>
                <w:bCs/>
                <w:color w:val="000000"/>
                <w:sz w:val="20"/>
                <w:szCs w:val="20"/>
              </w:rPr>
              <w:t xml:space="preserve">7</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r>
              <w:rPr>
                <w:rFonts w:ascii="Arial" w:cs="Arial" w:eastAsia="Arial" w:hAnsi="Arial"/>
                <w:b/>
                <w:bCs/>
                <w:color w:val="000000"/>
                <w:sz w:val="20"/>
                <w:szCs w:val="20"/>
              </w:rPr>
              <w:t xml:space="preserve">Defense pipeline — SBIR status and conversion timeline?</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r>
              <w:rPr>
                <w:rFonts w:ascii="Arial" w:cs="Arial" w:eastAsia="Arial" w:hAnsi="Arial"/>
                <w:color w:val="000000"/>
                <w:sz w:val="19"/>
                <w:szCs w:val="19"/>
              </w:rPr>
              <w:t xml:space="preserve">SBIR Phase 1 applications submitted; were expected Oct 2025 but delayed when SBIR got suspended nationally. Now reopened. Defense adviser (2-star major general) actively inquiring on timeline; expect answer within weeks. Separate: Naval warfare information command CRAR signed (can mature to purchase orders). US Army BAA discussions underway. SBIR Phase 2 potential: $1.25–1.75M per award. Not in base case financial model.</w:t>
            </w:r>
          </w:p>
        </w:tc>
        <w:tc>
          <w:tcPr>
            <w:tcW w:type="dxa" w:w="1400"/>
            <w:tcBorders>
              <w:top w:val="single" w:color="CCCCCC" w:sz="1"/>
              <w:left w:val="single" w:color="CCCCCC" w:sz="1"/>
              <w:bottom w:val="single" w:color="CCCCCC" w:sz="1"/>
              <w:right w:val="single" w:color="CCCCCC" w:sz="1"/>
            </w:tcBorders>
            <w:shd w:fill="FFC000" w:val="clear"/>
            <w:tcMar>
              <w:top w:type="dxa" w:w="100"/>
              <w:left w:type="dxa" w:w="120"/>
              <w:bottom w:type="dxa" w:w="100"/>
              <w:right w:type="dxa" w:w="120"/>
            </w:tcMar>
            <w:vAlign w:val="center"/>
          </w:tcPr>
          <w:p>
            <w:pPr>
              <w:jc w:val="center"/>
            </w:pPr>
            <w:r>
              <w:rPr>
                <w:rFonts w:ascii="Arial" w:cs="Arial" w:eastAsia="Arial" w:hAnsi="Arial"/>
                <w:b/>
                <w:bCs/>
                <w:color w:val="000000"/>
                <w:sz w:val="18"/>
                <w:szCs w:val="18"/>
              </w:rPr>
              <w:t xml:space="preserve">⚠️ PARTIAL</w:t>
            </w:r>
          </w:p>
        </w:tc>
      </w:tr>
    </w:tbl>
    <w:p>
      <w:pPr>
        <w:spacing w:after="200"/>
      </w:pPr>
    </w:p>
    <w:p>
      <w:pPr>
        <w:spacing w:after="120" w:before="160"/>
      </w:pPr>
      <w:r>
        <w:rPr>
          <w:rFonts w:ascii="Arial" w:cs="Arial" w:eastAsia="Arial" w:hAnsi="Arial"/>
          <w:b/>
          <w:bCs/>
          <w:color w:val="1F3864"/>
          <w:sz w:val="24"/>
          <w:szCs w:val="24"/>
        </w:rPr>
        <w:t xml:space="preserve">PROGRESSIVE THESIS UPDATE</w:t>
      </w:r>
    </w:p>
    <w:p>
      <w:pPr>
        <w:spacing w:after="120"/>
      </w:pPr>
      <w:r>
        <w:rPr>
          <w:rFonts w:ascii="Arial" w:cs="Arial" w:eastAsia="Arial" w:hAnsi="Arial"/>
          <w:color w:val="000000"/>
          <w:sz w:val="20"/>
          <w:szCs w:val="20"/>
        </w:rPr>
        <w:t xml:space="preserve">After Financials + GTM Pipeline Meeting (April 7, 2026) + Panasonic Contract Review: The technology moat thesis remains intact, but the commercial thesis has materially weakened. The Panasonic agreement is a 6-month test (expiring June 5, 2026) with zero of 10 required projects closed at the halfway mark — not the purchase commitment it was presented as. STL entered April with $23K cash and $73K monthly burn. The company is operating with no margin for error on two simultaneous clocks: the bridge round must close to $1M by June AND Panasonic must produce first revenue in Q2 or the entire financial model collapses.</w:t>
      </w:r>
    </w:p>
    <w:p>
      <w:r>
        <w:rPr>
          <w:rFonts w:ascii="Arial" w:cs="Arial" w:eastAsia="Arial" w:hAnsi="Arial"/>
          <w:color w:val="000000"/>
          <w:sz w:val="20"/>
          <w:szCs w:val="20"/>
        </w:rPr>
        <w:t xml:space="preserve">NWAi's path to a decision now requires four things: (1) Panasonic test status — has the agreement been extended or are there any closed projects before the June 5 expiration? This is now the gating question; (2) AMC pricing reconciliation — the contract says $1,000/license/year but the transcript quoted $2,500 for 5 years; this affects per-unit revenue and the upfront cash thesis; (3) completed data room — cap table, employment agreements, full financials, HubSpot pipeline; (4) round closure update — the $585K to $1M gap must be addressed. If Panasonic produces even one closed project in Q2 and the test is extended, the channel thesis survives and NWAi can proceed to IC. If June arrives with zero projects, the Panasonic thesis is dead and the financial model requires a fundamental rebuild.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2026-04-08T22:18:14.946Z</dcterms:created>
  <dcterms:modified xsi:type="dcterms:W3CDTF">2026-04-08T22:18:14.946Z</dcterms:modified>
</cp:coreProperties>
</file>

<file path=docProps/custom.xml><?xml version="1.0" encoding="utf-8"?>
<Properties xmlns="http://schemas.openxmlformats.org/officeDocument/2006/custom-properties" xmlns:vt="http://schemas.openxmlformats.org/officeDocument/2006/docPropsVTypes"/>
</file>