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STL  /  NWA + Golden Seeds Investor Diligence Call — Meeting Reconciliation</w:t>
      </w:r>
    </w:p>
    <w:p>
      <w:pPr>
        <w:spacing w:after="3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NWAi TechGroup Diligence  |  March 24, 2026  |  Post-Meeting Analysis  |  Participants: NWA (Jamie Allison, Kevin Li, Bahar), Golden Seeds (Shanti Punukollu)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ANALYST POV  |  </w:t>
            </w:r>
            <w:r>
              <w:rPr>
                <w:rFonts w:ascii="Arial" w:cs="Arial" w:eastAsia="Arial" w:hAnsi="Arial"/>
                <w:b w:val="false"/>
                <w:bCs w:val="false"/>
                <w:color w:val="C9D5EA"/>
                <w:sz w:val="20"/>
                <w:szCs w:val="20"/>
              </w:rPr>
              <w:t xml:space="preserve">Summit Technology Laboratory  —  NWA / Golden Seeds Investor Diligence Call  —  March 24, 2026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C4A7C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Golden Seeds' co-diligence validates NWAi's core thesis — differentiated technology, strong founder — while surfacing two risk dimensions the data room does not provide: the Air Force advisor holds unexpectedly large, fully-vested equity without a demonstrated defense conversion record, and PRG remains a strong but pre-revenue validation 5+ months after initial engagement. Most critically, Golden Seeds explicitly frames this as a "higher risk, higher reward" technology and founder bet — not a commercial traction bet — which means NWAi's investment decision must be made with full recognition that this is a bridge into a pre-commercial entity, with a $3M seed raise required within months and a founder who will be simultaneously selling, managing contracts, and fundraising.</w:t>
            </w:r>
          </w:p>
        </w:tc>
      </w:tr>
    </w:tbl>
    <w:p>
      <w:pPr>
        <w:spacing w:after="0" w:before="280"/>
      </w:pPr>
    </w:p>
    <w:p>
      <w:pPr>
        <w:pBdr>
          <w:bottom w:val="single" w:color="1F3864" w:sz="6" w:space="4"/>
        </w:pBdr>
        <w:spacing w:after="1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Label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Said / Observed</w:t>
            </w:r>
          </w:p>
        </w:tc>
        <w:tc>
          <w:tcPr>
            <w:tcW w:type="dxa" w:w="3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NWAi Impact &amp; Implications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Investment Thesis: Technology + Founder, Not Traction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"The bet for me is her technology is differentiated enough that if she can get to a point where she's integrated, potentially even with NVIDIA... the potential for a multi-X return is high." Explicitly characterized: "It's a higher risk, higher reward bet... it's still fairly early." — Shanti Punukollu, Golden Seeds deal lead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Golden Seeds — the lead investor in the current bridge — is explicitly not betting on proven commercial traction. They are betting on IP defensibility and founder quality. This is the correct frame for NWAi's decision: do not evaluate this deal against a commercial-stage standard. The question is whether the technology moat is real enough to attract the right Seed partners and convert enterprise prospects before the runway gap becomes critical.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PRG Validation is Real but Pre-Revenue — 5+ Months of Talks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PRG chief creative officer interrupted live demo mid-call: "Wait, did that just finish?" PRG sent hardware for testing and is in active conversations as of late February 2026. Shanti: "They have gotten back in touch with her only at the end of February." PRG use case: rental/project-based (Super Bowls, concert tours).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This is the strongest third-party technical validation in the deal — a market leader with zero prior relationship to STL encounters the product live and immediately engages. But 5+ months without a contract reveals the enterprise sales cycle reality for this channel. It also surfaces a structural pricing mismatch: PRG's rental model is incompatible with Artemis's annual license structure. PRG cannot convert without a per-event or rental pricing track.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Runway Is the Existential Risk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Kevin Li: "She has about 3 months of runway... she's gonna be non-stop raising." Target next milestone: $3M seed round (3–6 months to close). Golden Seeds bridge goal: get company to Q3 2026. Raised ~$450K of $750K bridge target at time of call.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capital structure creates a concentration of execution risk: Aditi is simultaneously managing existing contracts (NPIAB 144-projector deployment), building enterprise pipeline, onboarding a new VP Sales, and raising the bridge while preparing the $3M seed. This is not an unusual situation for deep tech, but it means NWAi must treat any investment as bridge capital with a defined 6-9 month window before the next round determines survival. The decision to invest is also implicitly a decision to support seed syndication.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Air Force Advisor Cap Table Flag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Shanti: "Why does he have a significant percentage of the cap table? Like, why did you give up a significant portion of your company to have fully vested?" Stephen Clark previously held CEO title. Shanti: "Great as an evangelist, but I don't know how good he is at converting things into real defense contracts." Clark has stepped back to paid consulting arrangement.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Golden Seeds explicitly discounted defense revenue from their analysis due to uncertainty about Clark's conversion capability and the SBIR freeze. NWAi should apply the same discount: defense revenue is upside optionality, not an underwrite. Clark's existing fully-vested equity stake dilutes future investors including NWAi. Before finalizing terms, NWAi should understand the exact equity percentage and how it factors into the post-bridge cap table.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Revenue Model Mismatch for Entertainment Vertical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Shanti: "They're a rental-based company... concerts are projects that come online and offline. They're trying to think about how they can co-market [with PRG]... but they're rental. Usually these are licensing on annual deals. They're going to have to figure out a different licensing model, because it's rental." Example: 2-month concert tour — annual license makes no sense.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entertainment vertical — which includes PRG and potentially the largest near-term commercial opportunity — cannot convert under current pricing architecture. A per-event or project-based pricing tier is needed before any of these prospects can close. This is a near-term commercial execution item, not a product roadmap item. VP Sales David Snyder's immediate priority should be designing this pricing track.</w:t>
            </w:r>
          </w:p>
        </w:tc>
      </w:tr>
    </w:tbl>
    <w:p>
      <w:pPr>
        <w:spacing w:after="0" w:before="280"/>
      </w:pPr>
    </w:p>
    <w:p>
      <w:pPr>
        <w:pBdr>
          <w:bottom w:val="single" w:color="1F3864" w:sz="6" w:space="4"/>
        </w:pBdr>
        <w:spacing w:after="1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RESOLVED / OPEN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4200"/>
        <w:gridCol w:w="2280"/>
      </w:tblGrid>
      <w:tr>
        <w:trPr>
          <w:tblHeader/>
        </w:trPr>
        <w:tc>
          <w:tcPr>
            <w:tcW w:type="dxa" w:w="4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Question</w:t>
            </w:r>
          </w:p>
        </w:tc>
        <w:tc>
          <w:tcPr>
            <w:tcW w:type="dxa" w:w="4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from Golden Seeds Call</w:t>
            </w:r>
          </w:p>
        </w:tc>
        <w:tc>
          <w:tcPr>
            <w:tcW w:type="dxa" w:w="22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Patent quality and IP defensibility — independent validation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Golden Seeds patent attorney member evaluated patents and confirmed: "really solid patents that were granted, very deep technologically." UC Irvine perpetual exclusive royalties negotiated and confirmed. IP defensibility independently validated by a co-investor with legal expertise.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✅ RESOLVED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Panasonic contract: exclusivity terms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Panasonic originally asked for exclusive rights. Aditi pushed back and negotiated a non-exclusive arrangement. Golden Seeds viewed this as evidence of founder commercial negotiation strength. Non-exclusive structure confirmed.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✅ RESOLVED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Air Force advisor (Stephen Clark): equity stake, role, and defense conversion capability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Clark holds significant fully-vested equity; previously held CEO title. Has stepped back to paid consulting due to personal/family reasons. Golden Seeds assessed him as strong evangelist, uncertain converter. Defense revenue explicitly discounted by Golden Seeds from investment analysis.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⚠️ PARTIAL — Equity dilution impact on NWAi entry terms not yet quantified.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Sales pipeline — VP Sales onboarding and early pipeline build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David Snyder joined as VP Sales in February 2026. Golden Seeds has not yet received a pipeline update. Kevin Li noted it was too early at the time of the NWA intro call to probe pipeline questions. No qualified pipeline data available as of March 24.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OPEN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Pricing model for event/entertainment vertical (PRG, concert/tour use cases)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Annual license model confirmed as incompatible with PRG's rental/project-based operations. No alternative pricing tier exists. Golden Seeds flagged this as an unresolved commercial execution item requiring a separate licensing track.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OPEN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Bridge round status and investor syndication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Golden Seeds led at $750K target; approximately $450K raised at time of call. Golden Seeds may add a Q2 bridge extension of $100–150K if needed. NWAi is evaluating participation. The bridge is explicitly designed to carry the company to Q3 while the $3M seed is syndicated.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⚠️ PARTIAL — NWAi investment decision pending. Remaining bridge capacity being assessed.</w:t>
            </w:r>
          </w:p>
        </w:tc>
      </w:tr>
    </w:tbl>
    <w:p>
      <w:pPr>
        <w:spacing w:after="0" w:before="280"/>
      </w:pPr>
    </w:p>
    <w:p>
      <w:pPr>
        <w:pBdr>
          <w:bottom w:val="single" w:color="1F3864" w:sz="6" w:space="4"/>
        </w:pBdr>
        <w:spacing w:after="1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PROGRESSIVE THESIS UPDATE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After Golden Seeds Co-Diligence Call: The thesis is now sharper on both the upside and the risk. Upside confirmation: the technology moat is independently validated, the IP is well-protected, and the PRG reaction is the strongest third-party signal we have seen in this deal cycle. Risk sharpening: this is not a commercial-traction story yet — it is a technology and founder story with a compressed runway and a first-time VP Sales building pipeline from zero. NWAi's investment decision comes down to one question: do we believe the Panasonic channel and the PRG pipeline can produce enough commercial evidence in the next 6-9 months to support a credible $3M seed syndication? If yes, the bridge participation is justified. If we are uncertain, a smaller bridge check with a clear milestone trigger (signed PRG contract or Panasonic-sourced enterprise close) is the appropriate risk-managed entry.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2026-04-07T18:22:10.443Z</dcterms:created>
  <dcterms:modified xsi:type="dcterms:W3CDTF">2026-04-07T18:22:10.443Z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