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CCCCCC" w:sz="1"/>
              <w:left w:val="single" w:color="CCCCCC" w:sz="1"/>
              <w:bottom w:val="single" w:color="CCCCCC" w:sz="1"/>
              <w:right w:val="single" w:color="CCCCCC" w:sz="1"/>
            </w:tcBorders>
            <w:shd w:fill="1A2F4E" w:val="clear"/>
            <w:tcMar>
              <w:top w:type="dxa" w:w="100"/>
              <w:left w:type="dxa" w:w="140"/>
              <w:bottom w:type="dxa" w:w="100"/>
              <w:right w:type="dxa" w:w="140"/>
            </w:tcMar>
            <w:vAlign w:val="top"/>
          </w:tcPr>
          <w:p>
            <w:r>
              <w:rPr>
                <w:rFonts w:ascii="Arial" w:cs="Arial" w:eastAsia="Arial" w:hAnsi="Arial"/>
                <w:b/>
                <w:bCs/>
                <w:i w:val="false"/>
                <w:iCs w:val="false"/>
                <w:color w:val="FFFFFF"/>
                <w:sz w:val="20"/>
                <w:szCs w:val="20"/>
              </w:rPr>
              <w:t xml:space="preserve">ANALYST POV — PRODUCT DEMO  |  Synergist Technology  |  April 2026</w:t>
            </w:r>
          </w:p>
        </w:tc>
      </w:tr>
      <w:tr>
        <w:tc>
          <w:tcPr>
            <w:tcW w:type="dxa" w:w="14400"/>
            <w:tcBorders>
              <w:top w:val="single" w:color="CCCCCC" w:sz="1"/>
              <w:left w:val="single" w:color="CCCCCC" w:sz="1"/>
              <w:bottom w:val="single" w:color="CCCCCC" w:sz="1"/>
              <w:right w:val="single" w:color="CCCCCC" w:sz="1"/>
            </w:tcBorders>
            <w:shd w:fill="F0F4FA" w:val="clear"/>
            <w:tcMar>
              <w:top w:type="dxa" w:w="100"/>
              <w:left w:type="dxa" w:w="140"/>
              <w:bottom w:type="dxa" w:w="100"/>
              <w:right w:type="dxa" w:w="140"/>
            </w:tcMar>
            <w:vAlign w:val="top"/>
          </w:tcPr>
          <w:p>
            <w:r>
              <w:rPr>
                <w:rFonts w:ascii="Arial" w:cs="Arial" w:eastAsia="Arial" w:hAnsi="Arial"/>
                <w:b/>
                <w:bCs/>
                <w:i w:val="false"/>
                <w:iCs w:val="false"/>
                <w:color w:val="1F3864"/>
                <w:sz w:val="19"/>
                <w:szCs w:val="19"/>
              </w:rPr>
              <w:t xml:space="preserve">Thesis Reframe: </w:t>
            </w:r>
            <w:r>
              <w:rPr>
                <w:rFonts w:ascii="Arial" w:cs="Arial" w:eastAsia="Arial" w:hAnsi="Arial"/>
                <w:b w:val="false"/>
                <w:bCs w:val="false"/>
                <w:i w:val="false"/>
                <w:iCs w:val="false"/>
                <w:color w:val="000000"/>
                <w:sz w:val="19"/>
                <w:szCs w:val="19"/>
              </w:rPr>
              <w:t xml:space="preserve">Based on the Product Demo, Synergist is a </w:t>
            </w:r>
            <w:r>
              <w:rPr>
                <w:rFonts w:ascii="Arial" w:cs="Arial" w:eastAsia="Arial" w:hAnsi="Arial"/>
                <w:b/>
                <w:bCs/>
                <w:i w:val="false"/>
                <w:iCs w:val="false"/>
                <w:color w:val="000000"/>
                <w:sz w:val="19"/>
                <w:szCs w:val="19"/>
              </w:rPr>
              <w:t xml:space="preserve">channel distribution play, not a technology moat play.</w:t>
            </w:r>
            <w:r>
              <w:rPr>
                <w:rFonts w:ascii="Arial" w:cs="Arial" w:eastAsia="Arial" w:hAnsi="Arial"/>
                <w:b w:val="false"/>
                <w:bCs w:val="false"/>
                <w:i w:val="false"/>
                <w:iCs w:val="false"/>
                <w:color w:val="000000"/>
                <w:sz w:val="19"/>
                <w:szCs w:val="19"/>
              </w:rPr>
              <w:t xml:space="preserve"> Brad has explicitly built a generic, MSP-delivered tool and is optimizing for a PE rollup exit in 3 years — not for durable enterprise defensibility. The AI governance tailwind is real. The product works. But the CEO has told us, in his own words, what he is and is not building. NWAi needs to decide whether this is the kind of bet we make.</w:t>
            </w:r>
          </w:p>
          <w:p>
            <w:r>
              <w:rPr>
                <w:rFonts w:ascii="Arial" w:cs="Arial" w:eastAsia="Arial" w:hAnsi="Arial"/>
                <w:b w:val="false"/>
                <w:bCs w:val="false"/>
                <w:i w:val="false"/>
                <w:iCs w:val="false"/>
                <w:color w:val="000000"/>
                <w:sz w:val="18"/>
                <w:szCs w:val="18"/>
              </w:rPr>
              <w:t xml:space="preserve"/>
            </w:r>
          </w:p>
          <w:p>
            <w:r>
              <w:rPr>
                <w:rFonts w:ascii="Arial" w:cs="Arial" w:eastAsia="Arial" w:hAnsi="Arial"/>
                <w:b/>
                <w:bCs/>
                <w:i w:val="false"/>
                <w:iCs w:val="false"/>
                <w:color w:val="000000"/>
                <w:sz w:val="18"/>
                <w:szCs w:val="18"/>
              </w:rPr>
              <w:t xml:space="preserve">The central question going into GTM and Financials: </w:t>
            </w:r>
            <w:r>
              <w:rPr>
                <w:rFonts w:ascii="Arial" w:cs="Arial" w:eastAsia="Arial" w:hAnsi="Arial"/>
                <w:b w:val="false"/>
                <w:bCs w:val="false"/>
                <w:i/>
                <w:iCs/>
                <w:color w:val="000000"/>
                <w:sz w:val="18"/>
                <w:szCs w:val="18"/>
              </w:rPr>
              <w:t xml:space="preserve">Does the CDW channel actually activate at the scale Brad's financial model requires — and is there enough enterprise value creation in 3 years to deliver NWAi's 10x? Everything else is downstream of that.</w:t>
            </w:r>
          </w:p>
        </w:tc>
      </w:tr>
    </w:tbl>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5600"/>
      </w:tblGrid>
      <w:tr>
        <w:tc>
          <w:tcPr>
            <w:tcW w:type="dxa" w:w="14400"/>
            <w:gridSpan w:val="3"/>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i w:val="false"/>
                <w:iCs w:val="false"/>
                <w:color w:val="FFFFFF"/>
                <w:sz w:val="20"/>
                <w:szCs w:val="20"/>
              </w:rPr>
              <w:t xml:space="preserve">KEY INSIGHTS FROM PRODUCT DEMO — Analyst Lens</w:t>
            </w:r>
          </w:p>
        </w:tc>
      </w:tr>
      <w:t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i w:val="false"/>
                <w:iCs w:val="false"/>
                <w:color w:val="FFFFFF"/>
                <w:sz w:val="19"/>
                <w:szCs w:val="19"/>
              </w:rPr>
              <w:t xml:space="preserve">Key Insight</w:t>
            </w:r>
          </w:p>
        </w:tc>
        <w:tc>
          <w:tcPr>
            <w:tcW w:type="dxa" w:w="5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i w:val="false"/>
                <w:iCs w:val="false"/>
                <w:color w:val="FFFFFF"/>
                <w:sz w:val="19"/>
                <w:szCs w:val="19"/>
              </w:rPr>
              <w:t xml:space="preserve">What Was Said / Observed</w:t>
            </w:r>
          </w:p>
        </w:tc>
        <w:tc>
          <w:tcPr>
            <w:tcW w:type="dxa" w:w="5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i w:val="false"/>
                <w:iCs w:val="false"/>
                <w:color w:val="FFFFFF"/>
                <w:sz w:val="19"/>
                <w:szCs w:val="19"/>
              </w:rPr>
              <w:t xml:space="preserve">NWAi Impact &amp; Implications</w:t>
            </w:r>
          </w:p>
        </w:tc>
      </w:tr>
      <w:tr>
        <w:tc>
          <w:tcPr>
            <w:tcW w:type="dxa" w:w="24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vAlign w:val="top"/>
          </w:tcPr>
          <w:p>
            <w:r>
              <w:rPr>
                <w:rFonts w:ascii="Arial" w:cs="Arial" w:eastAsia="Arial" w:hAnsi="Arial"/>
                <w:b/>
                <w:bCs/>
                <w:i w:val="false"/>
                <w:iCs w:val="false"/>
                <w:color w:val="1F3864"/>
                <w:sz w:val="17"/>
                <w:szCs w:val="17"/>
              </w:rPr>
              <w:t xml:space="preserve">BRAD DECLARATION #1
3-Year Exit Horizon — Building for PE Rollup</w:t>
            </w:r>
          </w:p>
        </w:tc>
        <w:tc>
          <w:tcPr>
            <w:tcW w:type="dxa" w:w="56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Brad stated directly: "I look at it and say, in three years, can we capture enough market share and enterprise value that a rollup is definitely going to take place. Private equity is coming in, in five years, probably less, and we're just going to be the beneficiary of enterprise value from that. That's how I look at it."</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This was not a casual comment — it was his answer to the direct question: 'Is this a standalone product category in five years, or does it get absorbed?'</w:t>
            </w:r>
          </w:p>
        </w:tc>
        <w:tc>
          <w:tcPr>
            <w:tcW w:type="dxa" w:w="5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The CEO has defined the strategy: build fast, sell to PE, exit. This means every resource decision is optimized for acquisition attractiveness over the next 24–36 months, not for long-term moat depth.</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Potential alignment: NWAi's 5-year 10x thesis could work if (a) the PE rollup delivers a real multiple and (b) the CDW channel generates enough revenue traction to make Synergist acquisition-worthy. But the bet is not on the technology — it's on Brad's read of the PE market timing.</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Risk: If CDW doesn't execute and revenue traction doesn't materialize in 18–24 months, there's nothing for PE to roll up. The exit thesis collapses with the channel thesis.</w:t>
            </w:r>
          </w:p>
        </w:tc>
      </w:tr>
      <w:tr>
        <w:tc>
          <w:tcPr>
            <w:tcW w:type="dxa" w:w="24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vAlign w:val="top"/>
          </w:tcPr>
          <w:p>
            <w:r>
              <w:rPr>
                <w:rFonts w:ascii="Arial" w:cs="Arial" w:eastAsia="Arial" w:hAnsi="Arial"/>
                <w:b/>
                <w:bCs/>
                <w:i w:val="false"/>
                <w:iCs w:val="false"/>
                <w:color w:val="1F3864"/>
                <w:sz w:val="17"/>
                <w:szCs w:val="17"/>
              </w:rPr>
              <w:t xml:space="preserve">BRAD DECLARATION #2
Generic Tool + Manual Setup = CDW Pro Services Vehicle</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Brad explicitly stated Synergist does not want to be in professional services — that revenue should stay with CDW. CDW charges $15,000 per customer for implementation. Synergist takes the subscription.</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The demo confirmed the product requires bespoke prompt engineering, custom evaluator configuration, and ongoing MSSP management for every customer. There is no self-serve onboarding. The AI wizard assists but does not replace the human setup layer.</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Brad's framing: build the best platform CDW can use to sell to their customers, and keep enough margin for CDW to want to push it.</w:t>
            </w:r>
          </w:p>
        </w:tc>
        <w:tc>
          <w:tcPr>
            <w:tcW w:type="dxa" w:w="5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Synergist is not the product enterprises buy — it's the tool CDW uses to drive billable hours. The end enterprise is sticky to CDW, not to Synergist.</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This means: no direct customer lock-in, no direct pricing power, no brand recognition with the actual buyer. If CDW deprioritizes the practice, finds a cheaper tool, or gets acquired, Synergist's revenue base is exposed.</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Additionally: Brad's stated vision (pure SaaS subscription) is in direct tension with a product that structurally requires significant services to deploy. This contradiction will show up in the financial model — and needs to be pressure-tested in the Financials meeting.</w:t>
            </w:r>
          </w:p>
        </w:tc>
      </w:tr>
      <w:tr>
        <w:tc>
          <w:tcPr>
            <w:tcW w:type="dxa" w:w="24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vAlign w:val="top"/>
          </w:tcPr>
          <w:p>
            <w:r>
              <w:rPr>
                <w:rFonts w:ascii="Arial" w:cs="Arial" w:eastAsia="Arial" w:hAnsi="Arial"/>
                <w:b/>
                <w:bCs/>
                <w:i w:val="false"/>
                <w:iCs w:val="false"/>
                <w:color w:val="1F3864"/>
                <w:sz w:val="17"/>
                <w:szCs w:val="17"/>
              </w:rPr>
              <w:t xml:space="preserve">ALICIA + BRAD DECLARATION
"Yes, Other Companies Can Do What We're Doing"</w:t>
            </w:r>
          </w:p>
        </w:tc>
        <w:tc>
          <w:tcPr>
            <w:tcW w:type="dxa" w:w="56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Alicia stated this explicitly when asked what makes Synergist uniquely defensible. Her answer: the platform's cloud/model agnosticism and the normalization layer for scoring.</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Brad's follow-on: "What makes us unique is how we're going to distribution."</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The demo confirmed: core evaluators are sourced from Microsoft SDK, PyRIT/pirate (open source), and LangChain. The platform runs entirely on Azure. The proprietary layer is the 0–200 scoring normalization and the MSP-friendly dashboard packaging.</w:t>
            </w:r>
          </w:p>
        </w:tc>
        <w:tc>
          <w:tcPr>
            <w:tcW w:type="dxa" w:w="5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Two co-founders, in consecutive statements, told the room: there is no proprietary technology moat. The differentiation is channel access (CDW), not product defensibility.</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Under NWAi's Memory Lock-in framework, this scores poorly. The product does not get smarter, stickier, or more embedded through use. Historical data accumulates, but it sits within CDW's relationship — not inside a Synergist-proprietary flywheel.</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Thin wrapper risk is elevated. The core product could be replicated using public APIs and open-source frameworks. The 48-hour replication test is not comfortably passed.</w:t>
            </w:r>
          </w:p>
        </w:tc>
      </w:tr>
      <w:tr>
        <w:tc>
          <w:tcPr>
            <w:tcW w:type="dxa" w:w="24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vAlign w:val="top"/>
          </w:tcPr>
          <w:p>
            <w:r>
              <w:rPr>
                <w:rFonts w:ascii="Arial" w:cs="Arial" w:eastAsia="Arial" w:hAnsi="Arial"/>
                <w:b/>
                <w:bCs/>
                <w:i w:val="false"/>
                <w:iCs w:val="false"/>
                <w:color w:val="1F3864"/>
                <w:sz w:val="17"/>
                <w:szCs w:val="17"/>
              </w:rPr>
              <w:t xml:space="preserve">STRUCTURAL CONTRADICTION
Pure-Subscription Vision vs. Services-Heavy Reality</w:t>
            </w:r>
          </w:p>
        </w:tc>
        <w:tc>
          <w:tcPr>
            <w:tcW w:type="dxa" w:w="5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Brad: "We do not want to be in the professional services business. We want our revenue to be a subscription to our platform."</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Reality observed in demo: Every customer onboarding requires custom prompt engineering, evaluator parameter tuning, scheduled job configuration, and ongoing MSSP management. Caleb (the implementation lead) acknowledged significant back-and-forth with each customer to get tests to desired baseline scores.</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CDW reportedly charges $15K per customer implementation. Synergist's own team attributed onboarding complexity to the bespoke nature of each AI asset deployment.</w:t>
            </w:r>
          </w:p>
        </w:tc>
        <w:tc>
          <w:tcPr>
            <w:tcW w:type="dxa" w:w="5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If the product structurally requires $15K of services to deploy per customer, then the ARR model is actually a services-plus-subscription model — and the unit economics are materially different from a clean SaaS business.</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This directly challenges the $10M / 500 customer 2026 projection. Ramping to 500 customers requires either (a) CDW to execute 500 implementations at $15K each, which is a significant professional services operation, or (b) the setup process to become genuinely self-serve, which the product is not today.</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Must probe in Financials: What is the actual cost-to-activate per customer when setup labor is fully loaded?</w:t>
            </w:r>
          </w:p>
        </w:tc>
      </w:tr>
      <w:tr>
        <w:tc>
          <w:tcPr>
            <w:tcW w:type="dxa" w:w="2400"/>
            <w:tcBorders>
              <w:top w:val="single" w:color="CCCCCC" w:sz="1"/>
              <w:left w:val="single" w:color="CCCCCC" w:sz="1"/>
              <w:bottom w:val="single" w:color="CCCCCC" w:sz="1"/>
              <w:right w:val="single" w:color="CCCCCC" w:sz="1"/>
            </w:tcBorders>
            <w:shd w:fill="E8EDF5" w:val="clear"/>
            <w:tcMar>
              <w:top w:type="dxa" w:w="100"/>
              <w:left w:type="dxa" w:w="140"/>
              <w:bottom w:type="dxa" w:w="100"/>
              <w:right w:type="dxa" w:w="140"/>
            </w:tcMar>
            <w:vAlign w:val="top"/>
          </w:tcPr>
          <w:p>
            <w:r>
              <w:rPr>
                <w:rFonts w:ascii="Arial" w:cs="Arial" w:eastAsia="Arial" w:hAnsi="Arial"/>
                <w:b/>
                <w:bCs/>
                <w:i w:val="false"/>
                <w:iCs w:val="false"/>
                <w:color w:val="1F3864"/>
                <w:sz w:val="17"/>
                <w:szCs w:val="17"/>
              </w:rPr>
              <w:t xml:space="preserve">TEAM SIGNAL
CEO Is the Company — Technical Bench Is Thin</w:t>
            </w:r>
          </w:p>
        </w:tc>
        <w:tc>
          <w:tcPr>
            <w:tcW w:type="dxa" w:w="5600"/>
            <w:tcBorders>
              <w:top w:val="single" w:color="CCCCCC" w:sz="1"/>
              <w:left w:val="single" w:color="CCCCCC" w:sz="1"/>
              <w:bottom w:val="single" w:color="CCCCCC" w:sz="1"/>
              <w:right w:val="single" w:color="CCCCCC" w:sz="1"/>
            </w:tcBorders>
            <w:shd w:fill="EEF2F7"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Brad stands out clearly from his team. When Synergist's own people spoke: CTO Andre (competent, solid, not AI/ML research depth), COO Dennis (medical device ops background, 3 months in), Technical Delivery lead Caleb (HVAC and oil field monitoring, joined January 2026, self-described as learning).</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Caleb executed the live demo — including admitting he didn't know Synergist's own context window parameters. He is the person who would onboard CDW's enterprise customers.</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Co-founder Alicia: Apple enterprise GTM background. Strong on narrative. Not technical.</w:t>
            </w:r>
          </w:p>
        </w:tc>
        <w:tc>
          <w:tcPr>
            <w:tcW w:type="dxa" w:w="5600"/>
            <w:tcBorders>
              <w:top w:val="single" w:color="CCCCCC" w:sz="1"/>
              <w:left w:val="single" w:color="CCCCCC" w:sz="1"/>
              <w:bottom w:val="single" w:color="CCCCCC" w:sz="1"/>
              <w:right w:val="single" w:color="CCCCCC" w:sz="1"/>
            </w:tcBorders>
            <w:shd w:fill="FFF8E1" w:val="clear"/>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The product is real and Brad is a compelling operator. But the execution team below Brad is thin and nascent for a company targeting 500 enterprise customers in 12 months.</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If CDW is charging $15K per implementation and Caleb-level talent is executing, quality consistency and scaling credibility are both at risk.</w:t>
            </w:r>
          </w:p>
          <w:p>
            <w:r>
              <w:rPr>
                <w:rFonts w:ascii="Arial" w:cs="Arial" w:eastAsia="Arial" w:hAnsi="Arial"/>
                <w:b w:val="false"/>
                <w:bCs w:val="false"/>
                <w:i w:val="false"/>
                <w:iCs w:val="false"/>
                <w:color w:val="000000"/>
                <w:sz w:val="17"/>
                <w:szCs w:val="17"/>
              </w:rPr>
              <w:t xml:space="preserve"/>
            </w:r>
          </w:p>
          <w:p>
            <w:r>
              <w:rPr>
                <w:rFonts w:ascii="Arial" w:cs="Arial" w:eastAsia="Arial" w:hAnsi="Arial"/>
                <w:b w:val="false"/>
                <w:bCs w:val="false"/>
                <w:i w:val="false"/>
                <w:iCs w:val="false"/>
                <w:color w:val="000000"/>
                <w:sz w:val="17"/>
                <w:szCs w:val="17"/>
              </w:rPr>
              <w:t xml:space="preserve">Brad's 3-year exit thesis requires demonstrable traction, which requires consistent delivery. The gap between Brad's ambition and his current team's depth is a meaningful execution risk NWAi should weight explicitly.</w:t>
            </w:r>
          </w:p>
        </w:tc>
      </w:tr>
    </w:tbl>
    <w:p>
      <w:r>
        <w:rPr>
          <w:sz w:val="4"/>
          <w:szCs w:val="4"/>
        </w:rP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8300"/>
        <w:gridCol w:w="2000"/>
      </w:tblGrid>
      <w:tr>
        <w:tc>
          <w:tcPr>
            <w:tcW w:type="dxa" w:w="14400"/>
            <w:gridSpan w:val="4"/>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r>
              <w:rPr>
                <w:rFonts w:ascii="Arial" w:cs="Arial" w:eastAsia="Arial" w:hAnsi="Arial"/>
                <w:b/>
                <w:bCs/>
                <w:i w:val="false"/>
                <w:iCs w:val="false"/>
                <w:color w:val="FFFFFF"/>
                <w:sz w:val="20"/>
                <w:szCs w:val="20"/>
              </w:rPr>
              <w:t xml:space="preserve">TRACK 1 DILIGENCE — RESOLVED / OPEN STATUS</w:t>
            </w:r>
          </w:p>
        </w:tc>
      </w:tr>
      <w:tr>
        <w:tc>
          <w:tcPr>
            <w:tcW w:type="dxa" w:w="5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w:t>
            </w:r>
          </w:p>
        </w:tc>
        <w:tc>
          <w:tcPr>
            <w:tcW w:type="dxa" w:w="36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Question</w:t>
            </w:r>
          </w:p>
        </w:tc>
        <w:tc>
          <w:tcPr>
            <w:tcW w:type="dxa" w:w="83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Finding</w:t>
            </w:r>
          </w:p>
        </w:tc>
        <w:tc>
          <w:tcPr>
            <w:tcW w:type="dxa" w:w="2000"/>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Status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1</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Product demo — confirm product exists and has basic functionality.</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Product is real and functional. Live demo confirmed multi-tenant dashboard, evaluator pipeline, scheduled monitoring, two connection modes, MSP parent-child architecture, and normalized 0–200 scoring.</w:t>
            </w:r>
          </w:p>
        </w:tc>
        <w:tc>
          <w:tcPr>
            <w:tcW w:type="dxa" w:w="20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top"/>
          </w:tcPr>
          <w:p>
            <w:pPr>
              <w:jc w:val="center"/>
            </w:pPr>
            <w:r>
              <w:rPr>
                <w:rFonts w:ascii="Arial" w:cs="Arial" w:eastAsia="Arial" w:hAnsi="Arial"/>
                <w:b/>
                <w:bCs/>
                <w:color w:val="FFFFFF"/>
                <w:sz w:val="17"/>
                <w:szCs w:val="17"/>
              </w:rPr>
              <w:t xml:space="preserve">✅ RESOLVED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Testing architecture: deterministic vs. probabilistic?</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Hybrid. Primarily probabilistic (LLM-as-a-judge via Azure, PyRIT, LangChain). Minority deterministic (Python stats for latency/readability). No false-positive/false-negative reliability data provided. The philosophical question — can a probabilistic system assure compliance of another? — was answered rhetorically, not technically.</w:t>
            </w:r>
          </w:p>
        </w:tc>
        <w:tc>
          <w:tcPr>
            <w:tcW w:type="dxa" w:w="200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vAlign w:val="top"/>
          </w:tcPr>
          <w:p>
            <w:pPr>
              <w:jc w:val="center"/>
            </w:pPr>
            <w:r>
              <w:rPr>
                <w:rFonts w:ascii="Arial" w:cs="Arial" w:eastAsia="Arial" w:hAnsi="Arial"/>
                <w:b/>
                <w:bCs/>
                <w:color w:val="000000"/>
                <w:sz w:val="17"/>
                <w:szCs w:val="17"/>
              </w:rPr>
              <w:t xml:space="preserve">⚠️ PARTIAL</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3</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What exactly are the 'agents'? Deterministic prompts or LLM-powered?</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Prompts are deterministic (human-authored, AI wizard for starters). Evaluation is probabilistic (LLM judge). 'Agents' as a distinct architectural term in the AFFIRM telemetry API context was never formally defined — needs clarification.</w:t>
            </w:r>
          </w:p>
        </w:tc>
        <w:tc>
          <w:tcPr>
            <w:tcW w:type="dxa" w:w="200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vAlign w:val="top"/>
          </w:tcPr>
          <w:p>
            <w:pPr>
              <w:jc w:val="center"/>
            </w:pPr>
            <w:r>
              <w:rPr>
                <w:rFonts w:ascii="Arial" w:cs="Arial" w:eastAsia="Arial" w:hAnsi="Arial"/>
                <w:b/>
                <w:bCs/>
                <w:color w:val="000000"/>
                <w:sz w:val="17"/>
                <w:szCs w:val="17"/>
              </w:rPr>
              <w:t xml:space="preserve">⚠️ PARTIAL</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Closed platform or open (third parties build on it)?</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Channel-open / developer-closed. MSPs can build and share custom templates. But no third-party SDK for native evaluator development. Core evaluator additions require Synergist engineering (20–40 hrs each). Scalability depends on Synergist's own capacity.</w:t>
            </w:r>
          </w:p>
        </w:tc>
        <w:tc>
          <w:tcPr>
            <w:tcW w:type="dxa" w:w="200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vAlign w:val="top"/>
          </w:tcPr>
          <w:p>
            <w:pPr>
              <w:jc w:val="center"/>
            </w:pPr>
            <w:r>
              <w:rPr>
                <w:rFonts w:ascii="Arial" w:cs="Arial" w:eastAsia="Arial" w:hAnsi="Arial"/>
                <w:b/>
                <w:bCs/>
                <w:color w:val="000000"/>
                <w:sz w:val="17"/>
                <w:szCs w:val="17"/>
              </w:rPr>
              <w:t xml:space="preserve">⚠️ PARTIAL</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5</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Compliance monitoring: static/point-in-time or recursive/continuous?</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Continuous — confirmed. Scheduled jobs at configurable intervals. Statistical drift detection: 675 scores → 80% confidence of detecting drift in ~10.5 days. Grounded in ISO 42001.</w:t>
            </w:r>
          </w:p>
        </w:tc>
        <w:tc>
          <w:tcPr>
            <w:tcW w:type="dxa" w:w="2000"/>
            <w:tcBorders>
              <w:top w:val="single" w:color="CCCCCC" w:sz="1"/>
              <w:left w:val="single" w:color="CCCCCC" w:sz="1"/>
              <w:bottom w:val="single" w:color="CCCCCC" w:sz="1"/>
              <w:right w:val="single" w:color="CCCCCC" w:sz="1"/>
            </w:tcBorders>
            <w:shd w:fill="375623" w:val="clear"/>
            <w:tcMar>
              <w:top w:type="dxa" w:w="80"/>
              <w:left w:type="dxa" w:w="80"/>
              <w:bottom w:type="dxa" w:w="80"/>
              <w:right w:type="dxa" w:w="80"/>
            </w:tcMar>
            <w:vAlign w:val="top"/>
          </w:tcPr>
          <w:p>
            <w:pPr>
              <w:jc w:val="center"/>
            </w:pPr>
            <w:r>
              <w:rPr>
                <w:rFonts w:ascii="Arial" w:cs="Arial" w:eastAsia="Arial" w:hAnsi="Arial"/>
                <w:b/>
                <w:bCs/>
                <w:color w:val="FFFFFF"/>
                <w:sz w:val="17"/>
                <w:szCs w:val="17"/>
              </w:rPr>
              <w:t xml:space="preserve">✅ RESOLVED</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6</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Standalone product category or feature absorbed into GRC/AIOps?</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Internal tension exposed: Brad says PE rollup (not standalone). Alicia says fills a GRC hole. CTO says replaces managed services category. Three different answers from three executives. Manual artifact feed to GRC today — no native integrations. Single highest strategic risk.</w:t>
            </w:r>
          </w:p>
        </w:tc>
        <w:tc>
          <w:tcPr>
            <w:tcW w:type="dxa" w:w="20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top"/>
          </w:tcPr>
          <w:p>
            <w:pPr>
              <w:jc w:val="center"/>
            </w:pPr>
            <w:r>
              <w:rPr>
                <w:rFonts w:ascii="Arial" w:cs="Arial" w:eastAsia="Arial" w:hAnsi="Arial"/>
                <w:b/>
                <w:bCs/>
                <w:color w:val="FFFFFF"/>
                <w:sz w:val="17"/>
                <w:szCs w:val="17"/>
              </w:rPr>
              <w:t xml:space="preserve">🔴 OPEN</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7</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Adjacent technologies / thin wrapper risk — what could kill this?</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Elevated by demo. Platform runs on Azure, Microsoft SDK evaluators, PyRIT (open-source), LangChain. Differentiation = normalization layer + MSP packaging. Alicia conceded replicability. Microsoft is simultaneously cloud provider and native evaluator source — existential concentration risk.</w:t>
            </w:r>
          </w:p>
        </w:tc>
        <w:tc>
          <w:tcPr>
            <w:tcW w:type="dxa" w:w="20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top"/>
          </w:tcPr>
          <w:p>
            <w:pPr>
              <w:jc w:val="center"/>
            </w:pPr>
            <w:r>
              <w:rPr>
                <w:rFonts w:ascii="Arial" w:cs="Arial" w:eastAsia="Arial" w:hAnsi="Arial"/>
                <w:b/>
                <w:bCs/>
                <w:color w:val="FFFFFF"/>
                <w:sz w:val="17"/>
                <w:szCs w:val="17"/>
              </w:rPr>
              <w:t xml:space="preserve">🔴 OPEN</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8</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bCs/>
                <w:i w:val="false"/>
                <w:iCs w:val="false"/>
                <w:color w:val="000000"/>
                <w:sz w:val="17"/>
                <w:szCs w:val="17"/>
              </w:rPr>
              <w:t xml:space="preserve">CTO and technical leadership depth beyond Brad.</w:t>
            </w:r>
          </w:p>
        </w:tc>
        <w:tc>
          <w:tcPr>
            <w:tcW w:type="dxa" w:w="83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r>
              <w:rPr>
                <w:rFonts w:ascii="Arial" w:cs="Arial" w:eastAsia="Arial" w:hAnsi="Arial"/>
                <w:b w:val="false"/>
                <w:bCs w:val="false"/>
                <w:i w:val="false"/>
                <w:iCs w:val="false"/>
                <w:color w:val="000000"/>
                <w:sz w:val="17"/>
                <w:szCs w:val="17"/>
              </w:rPr>
              <w:t xml:space="preserve">Thin bench confirmed. Andre (CTO) is solid but not AI/ML research depth. Caleb (delivery, 3 months, HVAC background) is the customer onboarding face. No ML/AI research profile on team. Execution risk relative to Brad's stated ambitions.</w:t>
            </w:r>
          </w:p>
        </w:tc>
        <w:tc>
          <w:tcPr>
            <w:tcW w:type="dxa" w:w="2000"/>
            <w:tcBorders>
              <w:top w:val="single" w:color="CCCCCC" w:sz="1"/>
              <w:left w:val="single" w:color="CCCCCC" w:sz="1"/>
              <w:bottom w:val="single" w:color="CCCCCC" w:sz="1"/>
              <w:right w:val="single" w:color="CCCCCC" w:sz="1"/>
            </w:tcBorders>
            <w:shd w:fill="FFC000" w:val="clear"/>
            <w:tcMar>
              <w:top w:type="dxa" w:w="80"/>
              <w:left w:type="dxa" w:w="80"/>
              <w:bottom w:type="dxa" w:w="80"/>
              <w:right w:type="dxa" w:w="80"/>
            </w:tcMar>
            <w:vAlign w:val="top"/>
          </w:tcPr>
          <w:p>
            <w:pPr>
              <w:jc w:val="center"/>
            </w:pPr>
            <w:r>
              <w:rPr>
                <w:rFonts w:ascii="Arial" w:cs="Arial" w:eastAsia="Arial" w:hAnsi="Arial"/>
                <w:b/>
                <w:bCs/>
                <w:color w:val="000000"/>
                <w:sz w:val="17"/>
                <w:szCs w:val="17"/>
              </w:rPr>
              <w:t xml:space="preserve">⚠️ PARTIAL</w:t>
            </w:r>
          </w:p>
        </w:tc>
      </w:tr>
    </w:tbl>
    <w:sectPr>
      <w:headerReference w:type="default" r:id="rId7"/>
      <w:footerReference w:type="default" r:id="rId8"/>
      <w:pgSz w:w="2448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NWAi TechGroup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val="false"/>
        <w:bCs w:val="false"/>
        <w:i w:val="false"/>
        <w:iCs w:val="false"/>
        <w:color w:val="888888"/>
        <w:sz w:val="16"/>
        <w:szCs w:val="16"/>
      </w:rPr>
      <w:t xml:space="preserve">SYNERGIST TECHNOLOGY  |  Product Demo — Analyst Review &amp; Reconciliation  |  NWAi TechGroup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2026-04-05T20:12:10.729Z</dcterms:created>
  <dcterms:modified xsi:type="dcterms:W3CDTF">2026-04-05T20:12:10.729Z</dcterms:modified>
</cp:coreProperties>
</file>

<file path=docProps/custom.xml><?xml version="1.0" encoding="utf-8"?>
<Properties xmlns="http://schemas.openxmlformats.org/officeDocument/2006/custom-properties" xmlns:vt="http://schemas.openxmlformats.org/officeDocument/2006/docPropsVTypes"/>
</file>