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6"/>
          <w:szCs w:val="36"/>
        </w:rPr>
        <w:t xml:space="preserve">SYNERGIST TECHNOLOGY</w:t>
      </w:r>
    </w:p>
    <w:p>
      <w:pPr>
        <w:spacing w:after="40"/>
        <w:jc w:val="center"/>
      </w:pPr>
      <w:r>
        <w:rPr>
          <w:rFonts w:ascii="Arial" w:cs="Arial" w:eastAsia="Arial" w:hAnsi="Arial"/>
          <w:color w:val="1F3864"/>
          <w:sz w:val="28"/>
          <w:szCs w:val="28"/>
        </w:rPr>
        <w:t xml:space="preserve">Market Intelligence Briefing</w:t>
      </w:r>
    </w:p>
    <w:p>
      <w:pPr>
        <w:spacing w:after="20"/>
        <w:jc w:val="center"/>
      </w:pPr>
      <w:r>
        <w:rPr>
          <w:rFonts w:ascii="Arial" w:cs="Arial" w:eastAsia="Arial" w:hAnsi="Arial"/>
          <w:color w:val="444444"/>
          <w:sz w:val="22"/>
          <w:szCs w:val="22"/>
        </w:rPr>
        <w:t xml:space="preserve">Demand-Pull Analysis  |  Competitive Landscape (Corrected)</w:t>
      </w:r>
    </w:p>
    <w:p>
      <w:pPr>
        <w:spacing w:after="200"/>
        <w:jc w:val="center"/>
      </w:pPr>
      <w:r>
        <w:rPr>
          <w:rFonts w:ascii="Arial" w:cs="Arial" w:eastAsia="Arial" w:hAnsi="Arial"/>
          <w:color w:val="666666"/>
          <w:sz w:val="18"/>
          <w:szCs w:val="18"/>
        </w:rPr>
        <w:t xml:space="preserve">Prepared for NWAi TechGroup Diligence Team  |  April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spacing w:after="60"/>
            </w:pPr>
            <w:r>
              <w:rPr>
                <w:rFonts w:ascii="Arial" w:cs="Arial" w:eastAsia="Arial" w:hAnsi="Arial"/>
                <w:b/>
                <w:bCs/>
                <w:sz w:val="20"/>
                <w:szCs w:val="20"/>
              </w:rPr>
              <w:t xml:space="preserve">Research Note</w:t>
            </w:r>
          </w:p>
          <w:p>
            <w:r>
              <w:rPr>
                <w:rFonts w:ascii="Arial" w:cs="Arial" w:eastAsia="Arial" w:hAnsi="Arial"/>
                <w:sz w:val="18"/>
                <w:szCs w:val="18"/>
              </w:rPr>
              <w:t xml:space="preserve">This briefing combines AI-assisted research (knowledge base through early 2025) with meeting transcript analysis. Specific data points (TAM figures, funding amounts, regulatory dates) should be verified against current sources before inclusion in IC materials. Recommended verification sources are noted throughout.</w:t>
            </w:r>
          </w:p>
        </w:tc>
      </w:tr>
    </w:tbl>
    <w:p>
      <w:pPr>
        <w:pStyle w:val="Heading1"/>
        <w:spacing w:after="160" w:before="400"/>
      </w:pPr>
      <w:r>
        <w:rPr>
          <w:rFonts w:ascii="Arial" w:cs="Arial" w:eastAsia="Arial" w:hAnsi="Arial"/>
          <w:b/>
          <w:bCs/>
          <w:color w:val="1F3864"/>
          <w:sz w:val="32"/>
          <w:szCs w:val="32"/>
        </w:rPr>
        <w:t xml:space="preserve">PART 1: Demand-Pull Analysis</w:t>
      </w:r>
    </w:p>
    <w:p>
      <w:pPr>
        <w:spacing w:after="80"/>
      </w:pPr>
      <w:r>
        <w:rPr>
          <w:rFonts w:ascii="Arial" w:cs="Arial" w:eastAsia="Arial" w:hAnsi="Arial"/>
          <w:b w:val="false"/>
          <w:bCs w:val="false"/>
          <w:color w:val="000000"/>
          <w:sz w:val="20"/>
          <w:szCs w:val="20"/>
        </w:rPr>
        <w:t xml:space="preserve">Core Question (from Hans Kaspersetz, Diligence Meeting 3/25): Is enterprise AI/LLM governance compliance a real market-pull demand, or is Synergist pushing technology into a market that hasn’t asked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after="60"/>
            </w:pPr>
            <w:r>
              <w:rPr>
                <w:rFonts w:ascii="Arial" w:cs="Arial" w:eastAsia="Arial" w:hAnsi="Arial"/>
                <w:b/>
                <w:bCs/>
                <w:color w:val="375623"/>
                <w:sz w:val="22"/>
                <w:szCs w:val="22"/>
              </w:rPr>
              <w:t xml:space="preserve">VERDICT: DEMAND-PULL (High Confidence)  |  Signal Strength: 4.5 / 5.0</w:t>
            </w:r>
          </w:p>
          <w:p>
            <w:r>
              <w:rPr>
                <w:rFonts w:ascii="Arial" w:cs="Arial" w:eastAsia="Arial" w:hAnsi="Arial"/>
                <w:sz w:val="20"/>
                <w:szCs w:val="20"/>
              </w:rPr>
              <w:t xml:space="preserve">The market for AI/LLM governance compliance testing is driven by regulatory mandates and enterprise buyer demand, not vendor hype. Hard compliance deadlines (EU AI Act 2026, NIST AI RMF, SEC AI disclosure rules) create non-negotiable procurement triggers. Enterprise budget allocation (15–30% of AI spend on governance) confirms this is a budgeted category, not a speculative one.</w:t>
            </w:r>
          </w:p>
        </w:tc>
      </w:tr>
    </w:tbl>
    <w:p>
      <w:pPr>
        <w:pStyle w:val="Heading2"/>
        <w:spacing w:after="100" w:before="300"/>
      </w:pPr>
      <w:r>
        <w:rPr>
          <w:rFonts w:ascii="Arial" w:cs="Arial" w:eastAsia="Arial" w:hAnsi="Arial"/>
          <w:b/>
          <w:bCs/>
          <w:color w:val="1F3864"/>
          <w:sz w:val="26"/>
          <w:szCs w:val="26"/>
        </w:rPr>
        <w:t xml:space="preserve">1.1  Regulatory Drivers — Hard Compliance Deadlines</w:t>
      </w:r>
    </w:p>
    <w:p>
      <w:pPr>
        <w:spacing w:after="80"/>
      </w:pPr>
      <w:r>
        <w:rPr>
          <w:rFonts w:ascii="Arial" w:cs="Arial" w:eastAsia="Arial" w:hAnsi="Arial"/>
          <w:b w:val="false"/>
          <w:bCs w:val="false"/>
          <w:color w:val="000000"/>
          <w:sz w:val="20"/>
          <w:szCs w:val="20"/>
        </w:rPr>
        <w:t xml:space="preserve">Multiple regulatory frameworks are creating non-negotiable compliance deadlines that drive procurement of AI governance and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700"/>
        <w:gridCol w:w="16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Regulation</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Demand Signal</w:t>
            </w:r>
          </w:p>
        </w:tc>
        <w:tc>
          <w:tcPr>
            <w:tcW w:type="dxa" w:w="1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Verify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EU AI 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High-risk AI systems in EU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Entry into force Aug 2024; high-risk rules ~Aug 2026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C00000"/>
                <w:sz w:val="18"/>
                <w:szCs w:val="18"/>
              </w:rPr>
              <w:t xml:space="preserve">VERY HIGH</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EUR-Lex, EC official site</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EO 14110 + NIST AI RMF</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Federal AI governance standards, contractor requirements</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NIST AI RMF published 2023; federal contractor reqs 2024–2025</w:t>
            </w:r>
          </w:p>
        </w:tc>
        <w:tc>
          <w:tcPr>
            <w:tcW w:type="dxa" w:w="17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HIGH</w:t>
            </w:r>
          </w:p>
        </w:tc>
        <w:tc>
          <w:tcPr>
            <w:tcW w:type="dxa" w:w="16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NIST.gov, Federal Register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SEC AI Risk Disclosure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Public company AI governance disclosure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Proposed 2024; expected final 2025–2026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HIGH</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SEC.gov</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Financial Regulator Guidance</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Banks, fintech (Fed, OCC, FDIC)</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Guidance issued 2024; compliance ongoing</w:t>
            </w:r>
          </w:p>
        </w:tc>
        <w:tc>
          <w:tcPr>
            <w:tcW w:type="dxa" w:w="17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HIGH</w:t>
            </w:r>
          </w:p>
        </w:tc>
        <w:tc>
          <w:tcPr>
            <w:tcW w:type="dxa" w:w="16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Federal Reserve, OCC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State-Level AI Laws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 CA, NY, others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Various deadlines 2024–2026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NCSL, state legislatures</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FDA AI/ML Pathway</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Medical device AI</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Software validation frameworks 2024–2025</w:t>
            </w:r>
          </w:p>
        </w:tc>
        <w:tc>
          <w:tcPr>
            <w:tcW w:type="dxa" w:w="17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MEDIUM-HIGH</w:t>
            </w:r>
          </w:p>
        </w:tc>
        <w:tc>
          <w:tcPr>
            <w:tcW w:type="dxa" w:w="16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FDA.gov</w:t>
            </w:r>
          </w:p>
        </w:tc>
      </w:tr>
    </w:tbl>
    <w:p>
      <w:pPr>
        <w:spacing w:after="80"/>
      </w:pPr>
      <w:r>
        <w:rPr>
          <w:rFonts w:ascii="Arial" w:cs="Arial" w:eastAsia="Arial" w:hAnsi="Arial"/>
          <w:b/>
          <w:bCs/>
          <w:sz w:val="20"/>
          <w:szCs w:val="20"/>
        </w:rPr>
        <w:t xml:space="preserve">Key insight: </w:t>
      </w:r>
      <w:r>
        <w:rPr>
          <w:rFonts w:ascii="Arial" w:cs="Arial" w:eastAsia="Arial" w:hAnsi="Arial"/>
          <w:sz w:val="20"/>
          <w:szCs w:val="20"/>
        </w:rPr>
        <w:t xml:space="preserve">Regulatory drivers precede vendor product launches. The EU AI Act was proposed in 2021, finalized in 2023, and began enforcement in 2024. Enterprise demand for compliance tooling followed, not preceded, regulatory clarity. This is textbook demand-pull.</w:t>
      </w:r>
    </w:p>
    <w:p>
      <w:pPr>
        <w:pStyle w:val="Heading2"/>
        <w:spacing w:after="100" w:before="300"/>
      </w:pPr>
      <w:r>
        <w:rPr>
          <w:rFonts w:ascii="Arial" w:cs="Arial" w:eastAsia="Arial" w:hAnsi="Arial"/>
          <w:b/>
          <w:bCs/>
          <w:color w:val="1F3864"/>
          <w:sz w:val="26"/>
          <w:szCs w:val="26"/>
        </w:rPr>
        <w:t xml:space="preserve">1.2  Enterprise Buying Signals</w:t>
      </w:r>
    </w:p>
    <w:p>
      <w:pPr>
        <w:pStyle w:val="ListParagraph"/>
        <w:numPr>
          <w:ilvl w:val="0"/>
          <w:numId w:val="2"/>
        </w:numPr>
        <w:spacing w:after="40"/>
      </w:pPr>
      <w:r>
        <w:rPr>
          <w:rFonts w:ascii="Arial" w:cs="Arial" w:eastAsia="Arial" w:hAnsi="Arial"/>
          <w:b/>
          <w:bCs/>
          <w:sz w:val="20"/>
          <w:szCs w:val="20"/>
        </w:rPr>
        <w:t xml:space="preserve">SEC Filings: </w:t>
      </w:r>
      <w:r>
        <w:rPr>
          <w:rFonts w:ascii="Arial" w:cs="Arial" w:eastAsia="Arial" w:hAnsi="Arial"/>
          <w:sz w:val="20"/>
          <w:szCs w:val="20"/>
        </w:rPr>
        <w:t xml:space="preserve">AI governance now cited as material risk in 10-K filings from major tech, financial, and healthcare companies. Board-level governance focus at Fortune 500 companies.</w:t>
      </w:r>
    </w:p>
    <w:p>
      <w:pPr>
        <w:pStyle w:val="ListParagraph"/>
        <w:numPr>
          <w:ilvl w:val="0"/>
          <w:numId w:val="2"/>
        </w:numPr>
        <w:spacing w:after="40"/>
      </w:pPr>
      <w:r>
        <w:rPr>
          <w:rFonts w:ascii="Arial" w:cs="Arial" w:eastAsia="Arial" w:hAnsi="Arial"/>
          <w:b/>
          <w:bCs/>
          <w:sz w:val="20"/>
          <w:szCs w:val="20"/>
        </w:rPr>
        <w:t xml:space="preserve">CISO Survey Data: </w:t>
      </w:r>
      <w:r>
        <w:rPr>
          <w:rFonts w:ascii="Arial" w:cs="Arial" w:eastAsia="Arial" w:hAnsi="Arial"/>
          <w:sz w:val="20"/>
          <w:szCs w:val="20"/>
        </w:rPr>
        <w:t xml:space="preserve">Industry surveys from RSA Conference and Black Hat (2024) showed 70%+ of enterprise CISOs cited AI governance and LLM compliance as emerging security priorities.</w:t>
      </w:r>
    </w:p>
    <w:p>
      <w:pPr>
        <w:pStyle w:val="ListParagraph"/>
        <w:numPr>
          <w:ilvl w:val="0"/>
          <w:numId w:val="2"/>
        </w:numPr>
        <w:spacing w:after="40"/>
      </w:pPr>
      <w:r>
        <w:rPr>
          <w:rFonts w:ascii="Arial" w:cs="Arial" w:eastAsia="Arial" w:hAnsi="Arial"/>
          <w:b/>
          <w:bCs/>
          <w:sz w:val="20"/>
          <w:szCs w:val="20"/>
        </w:rPr>
        <w:t xml:space="preserve">Federal Procurement: </w:t>
      </w:r>
      <w:r>
        <w:rPr>
          <w:rFonts w:ascii="Arial" w:cs="Arial" w:eastAsia="Arial" w:hAnsi="Arial"/>
          <w:sz w:val="20"/>
          <w:szCs w:val="20"/>
        </w:rPr>
        <w:t xml:space="preserve">Increasing contract opportunities on SAM.gov for “AI governance assessment,” “LLM compliance testing,” and “AI audit tools” from federal agencies ($500K–$5M+ awards).</w:t>
      </w:r>
    </w:p>
    <w:p>
      <w:pPr>
        <w:pStyle w:val="ListParagraph"/>
        <w:numPr>
          <w:ilvl w:val="0"/>
          <w:numId w:val="2"/>
        </w:numPr>
        <w:spacing w:after="40"/>
      </w:pPr>
      <w:r>
        <w:rPr>
          <w:rFonts w:ascii="Arial" w:cs="Arial" w:eastAsia="Arial" w:hAnsi="Arial"/>
          <w:b/>
          <w:bCs/>
          <w:sz w:val="20"/>
          <w:szCs w:val="20"/>
        </w:rPr>
        <w:t xml:space="preserve">Budget Allocation: </w:t>
      </w:r>
      <w:r>
        <w:rPr>
          <w:rFonts w:ascii="Arial" w:cs="Arial" w:eastAsia="Arial" w:hAnsi="Arial"/>
          <w:sz w:val="20"/>
          <w:szCs w:val="20"/>
        </w:rPr>
        <w:t xml:space="preserve">Gartner CIO Survey (2024) indicated enterprises allocating 15–25% of AI budgets to governance/compliance/risk. Financial services allocating 25–35%. This is budgeted spending, not speculative.</w:t>
      </w:r>
    </w:p>
    <w:p>
      <w:pPr>
        <w:pStyle w:val="ListParagraph"/>
        <w:numPr>
          <w:ilvl w:val="0"/>
          <w:numId w:val="2"/>
        </w:numPr>
        <w:spacing w:after="40"/>
      </w:pPr>
      <w:r>
        <w:rPr>
          <w:rFonts w:ascii="Arial" w:cs="Arial" w:eastAsia="Arial" w:hAnsi="Arial"/>
          <w:b/>
          <w:bCs/>
          <w:sz w:val="20"/>
          <w:szCs w:val="20"/>
        </w:rPr>
        <w:t xml:space="preserve">Analyst Category Creation: </w:t>
      </w:r>
      <w:r>
        <w:rPr>
          <w:rFonts w:ascii="Arial" w:cs="Arial" w:eastAsia="Arial" w:hAnsi="Arial"/>
          <w:sz w:val="20"/>
          <w:szCs w:val="20"/>
        </w:rPr>
        <w:t xml:space="preserve">Gartner created the “AI TRiSM” (Trust, Risk, Security Management) category. Multiple analysts now treat AI governance as a distinct, budgeted market — not a feature of existing security tools.</w:t>
      </w:r>
    </w:p>
    <w:p>
      <w:pPr>
        <w:spacing w:after="40"/>
      </w:pPr>
      <w:r>
        <w:rPr>
          <w:rFonts w:ascii="Arial" w:cs="Arial" w:eastAsia="Arial" w:hAnsi="Arial"/>
          <w:b w:val="false"/>
          <w:bCs w:val="false"/>
          <w:color w:val="000000"/>
          <w:sz w:val="20"/>
          <w:szCs w:val="20"/>
        </w:rPr>
        <w:t xml:space="preserve">Recommended verification: Pull current Gartner/Forrester reports from NWAi library; interview 3–5 CISOs/CTOs from NWAi network on governance spending.</w:t>
      </w:r>
    </w:p>
    <w:p>
      <w:pPr>
        <w:pStyle w:val="Heading2"/>
        <w:spacing w:after="100" w:before="300"/>
      </w:pPr>
      <w:r>
        <w:rPr>
          <w:rFonts w:ascii="Arial" w:cs="Arial" w:eastAsia="Arial" w:hAnsi="Arial"/>
          <w:b/>
          <w:bCs/>
          <w:color w:val="1F3864"/>
          <w:sz w:val="26"/>
          <w:szCs w:val="26"/>
        </w:rPr>
        <w:t xml:space="preserve">1.3  Palantir’s Stance (per Hans’s request)</w:t>
      </w:r>
    </w:p>
    <w:p>
      <w:pPr>
        <w:spacing w:after="80"/>
      </w:pPr>
      <w:r>
        <w:rPr>
          <w:rFonts w:ascii="Arial" w:cs="Arial" w:eastAsia="Arial" w:hAnsi="Arial"/>
          <w:b w:val="false"/>
          <w:bCs w:val="false"/>
          <w:color w:val="000000"/>
          <w:sz w:val="20"/>
          <w:szCs w:val="20"/>
        </w:rPr>
        <w:t xml:space="preserve">Palantir has publicly positioned AI governance as both a moral imperative and a market opportunity. CEO Alex Karp has framed governance not as a speculative future need, but as an urgent present-day compliance requirement. Palantir has released “Ontology for AI Governance” capabilities and secured government contracts explicitly tied to AI governance and audit requirements.</w:t>
      </w:r>
    </w:p>
    <w:p>
      <w:pPr>
        <w:spacing w:after="80"/>
      </w:pPr>
      <w:r>
        <w:rPr>
          <w:rFonts w:ascii="Arial" w:cs="Arial" w:eastAsia="Arial" w:hAnsi="Arial"/>
          <w:b/>
          <w:bCs/>
          <w:sz w:val="20"/>
          <w:szCs w:val="20"/>
        </w:rPr>
        <w:t xml:space="preserve">Signal: </w:t>
      </w:r>
      <w:r>
        <w:rPr>
          <w:rFonts w:ascii="Arial" w:cs="Arial" w:eastAsia="Arial" w:hAnsi="Arial"/>
          <w:sz w:val="20"/>
          <w:szCs w:val="20"/>
        </w:rPr>
        <w:t xml:space="preserve">Palantir’s positioning suggests the market has moved from “should we care?” to “which governance platform will we standardize on?” — a demand-pull inflection point.</w:t>
      </w:r>
    </w:p>
    <w:p>
      <w:pPr>
        <w:spacing w:after="80"/>
      </w:pPr>
      <w:r>
        <w:rPr>
          <w:rFonts w:ascii="Arial" w:cs="Arial" w:eastAsia="Arial" w:hAnsi="Arial"/>
          <w:b w:val="false"/>
          <w:bCs w:val="false"/>
          <w:color w:val="000000"/>
          <w:sz w:val="20"/>
          <w:szCs w:val="20"/>
        </w:rPr>
        <w:t xml:space="preserve">Recommended verification: Pull Palantir’s most recent earnings call transcript and 10-K for AI governance language.</w:t>
      </w:r>
    </w:p>
    <w:p>
      <w:pPr>
        <w:pStyle w:val="Heading2"/>
        <w:spacing w:after="100" w:before="300"/>
      </w:pPr>
      <w:r>
        <w:rPr>
          <w:rFonts w:ascii="Arial" w:cs="Arial" w:eastAsia="Arial" w:hAnsi="Arial"/>
          <w:b/>
          <w:bCs/>
          <w:color w:val="1F3864"/>
          <w:sz w:val="26"/>
          <w:szCs w:val="26"/>
        </w:rPr>
        <w:t xml:space="preserve">1.4  Demand Signal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Signal Type</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Demand-Pull Evidence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Strength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Regulatory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EU AI Act, NIST RMF, SEC rules = hard requirements. Regulators reacting to AI risks, not vendor marketing.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VERY STRONG</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Buying</w:t>
            </w:r>
          </w:p>
        </w:tc>
        <w:tc>
          <w:tcPr>
            <w:tcW w:type="dxa" w:w="4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Active RFPs, federal procurement awards, enterprise tool adoption outpacing delivery.</w:t>
            </w:r>
          </w:p>
        </w:tc>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VERY STRONG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Budget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15–30% of AI spend allocated to governance. Companies don’t budget for speculative solutions.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STRONG</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Analyst</w:t>
            </w:r>
          </w:p>
        </w:tc>
        <w:tc>
          <w:tcPr>
            <w:tcW w:type="dxa" w:w="4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Multiple analysts created new market categories (AI TRiSM). Analysts follow buyers, they don’t lead.</w:t>
            </w:r>
          </w:p>
        </w:tc>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STRONG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Executive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Board-level governance focus, CISO surveys show 70%+ cite need.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STRONG</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Competitive</w:t>
            </w:r>
          </w:p>
        </w:tc>
        <w:tc>
          <w:tcPr>
            <w:tcW w:type="dxa" w:w="4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MSFT, Google, Palantir entering; incumbents move where demand exists.</w:t>
            </w:r>
          </w:p>
        </w:tc>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STRONG</w:t>
            </w:r>
          </w:p>
        </w:tc>
      </w:tr>
    </w:tbl>
    <w:p>
      <w:pPr>
        <w:pStyle w:val="Heading2"/>
        <w:spacing w:after="100" w:before="300"/>
      </w:pPr>
      <w:r>
        <w:rPr>
          <w:rFonts w:ascii="Arial" w:cs="Arial" w:eastAsia="Arial" w:hAnsi="Arial"/>
          <w:b/>
          <w:bCs/>
          <w:color w:val="1F3864"/>
          <w:sz w:val="26"/>
          <w:szCs w:val="26"/>
        </w:rPr>
        <w:t xml:space="preserve">1.5  Implications for Synergist</w:t>
      </w:r>
    </w:p>
    <w:p>
      <w:pPr>
        <w:pStyle w:val="ListParagraph"/>
        <w:numPr>
          <w:ilvl w:val="0"/>
          <w:numId w:val="2"/>
        </w:numPr>
        <w:spacing w:after="40"/>
      </w:pPr>
      <w:r>
        <w:rPr>
          <w:rFonts w:ascii="Arial" w:cs="Arial" w:eastAsia="Arial" w:hAnsi="Arial"/>
          <w:b/>
          <w:bCs/>
          <w:sz w:val="20"/>
          <w:szCs w:val="20"/>
        </w:rPr>
        <w:t xml:space="preserve">Market validation is strong. </w:t>
      </w:r>
      <w:r>
        <w:rPr>
          <w:rFonts w:ascii="Arial" w:cs="Arial" w:eastAsia="Arial" w:hAnsi="Arial"/>
          <w:sz w:val="20"/>
          <w:szCs w:val="20"/>
        </w:rPr>
        <w:t xml:space="preserve">Demand for AI governance testing is real, driven by regulations and buyer need. This is not a manufactured category.</w:t>
      </w:r>
    </w:p>
    <w:p>
      <w:pPr>
        <w:pStyle w:val="ListParagraph"/>
        <w:numPr>
          <w:ilvl w:val="0"/>
          <w:numId w:val="2"/>
        </w:numPr>
        <w:spacing w:after="40"/>
      </w:pPr>
      <w:r>
        <w:rPr>
          <w:rFonts w:ascii="Arial" w:cs="Arial" w:eastAsia="Arial" w:hAnsi="Arial"/>
          <w:b/>
          <w:bCs/>
          <w:sz w:val="20"/>
          <w:szCs w:val="20"/>
        </w:rPr>
        <w:t xml:space="preserve">Regulatory tailwind strengthening. </w:t>
      </w:r>
      <w:r>
        <w:rPr>
          <w:rFonts w:ascii="Arial" w:cs="Arial" w:eastAsia="Arial" w:hAnsi="Arial"/>
          <w:sz w:val="20"/>
          <w:szCs w:val="20"/>
        </w:rPr>
        <w:t xml:space="preserve">EU AI Act high-risk rules (~Aug 2026) and SEC requirements create accelerating procurement urgency.</w:t>
      </w:r>
    </w:p>
    <w:p>
      <w:pPr>
        <w:pStyle w:val="ListParagraph"/>
        <w:numPr>
          <w:ilvl w:val="0"/>
          <w:numId w:val="2"/>
        </w:numPr>
        <w:spacing w:after="40"/>
      </w:pPr>
      <w:r>
        <w:rPr>
          <w:rFonts w:ascii="Arial" w:cs="Arial" w:eastAsia="Arial" w:hAnsi="Arial"/>
          <w:b/>
          <w:bCs/>
          <w:sz w:val="20"/>
          <w:szCs w:val="20"/>
        </w:rPr>
        <w:t xml:space="preserve">The “window” thesis is plausible. </w:t>
      </w:r>
      <w:r>
        <w:rPr>
          <w:rFonts w:ascii="Arial" w:cs="Arial" w:eastAsia="Arial" w:hAnsi="Arial"/>
          <w:sz w:val="20"/>
          <w:szCs w:val="20"/>
        </w:rPr>
        <w:t xml:space="preserve">There is genuinely a gap between when compliance is mandated and when the big platforms (Microsoft, ServiceNow) have it fully baked. The question is how long that window stays open.</w:t>
      </w:r>
    </w:p>
    <w:p>
      <w:pPr>
        <w:pStyle w:val="ListParagraph"/>
        <w:numPr>
          <w:ilvl w:val="0"/>
          <w:numId w:val="2"/>
        </w:numPr>
        <w:spacing w:after="40"/>
      </w:pPr>
      <w:r>
        <w:rPr>
          <w:rFonts w:ascii="Arial" w:cs="Arial" w:eastAsia="Arial" w:hAnsi="Arial"/>
          <w:b/>
          <w:bCs/>
          <w:sz w:val="20"/>
          <w:szCs w:val="20"/>
        </w:rPr>
        <w:t xml:space="preserve">But demand alone doesn’t validate Synergist. </w:t>
      </w:r>
      <w:r>
        <w:rPr>
          <w:rFonts w:ascii="Arial" w:cs="Arial" w:eastAsia="Arial" w:hAnsi="Arial"/>
          <w:sz w:val="20"/>
          <w:szCs w:val="20"/>
        </w:rPr>
        <w:t xml:space="preserve">A strong market doesn’t guarantee a specific company wins. Defensibility, execution, and distribution matter. See Part 2.</w:t>
      </w:r>
    </w:p>
    <w:p>
      <w:r>
        <w:br w:type="page"/>
      </w:r>
    </w:p>
    <w:p>
      <w:pPr>
        <w:pStyle w:val="Heading1"/>
        <w:spacing w:after="160" w:before="200"/>
      </w:pPr>
      <w:r>
        <w:rPr>
          <w:rFonts w:ascii="Arial" w:cs="Arial" w:eastAsia="Arial" w:hAnsi="Arial"/>
          <w:b/>
          <w:bCs/>
          <w:color w:val="1F3864"/>
          <w:sz w:val="32"/>
          <w:szCs w:val="32"/>
        </w:rPr>
        <w:t xml:space="preserve">PART 2: Competitive Landscape (Corrected Framing)</w:t>
      </w:r>
    </w:p>
    <w:p>
      <w:pPr>
        <w:spacing w:after="80"/>
      </w:pPr>
      <w:r>
        <w:rPr>
          <w:rFonts w:ascii="Arial" w:cs="Arial" w:eastAsia="Arial" w:hAnsi="Arial"/>
          <w:b w:val="false"/>
          <w:bCs w:val="false"/>
          <w:color w:val="000000"/>
          <w:sz w:val="20"/>
          <w:szCs w:val="20"/>
        </w:rPr>
        <w:t xml:space="preserve">Correction: Tim Acker flagged in the 3/25 meeting that our prior DD Report’s competitive analysis used Microsoft Purview and broad GRC as primary comps. Tim was right — Purview is a data governance product, not an AI compliance/red-teaming tool. This section reframes the landscape around the correct competitors: AI red-teaming, LLM compliance testing, and AI governance audit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50"/>
              <w:bottom w:type="dxa" w:w="80"/>
              <w:right w:type="dxa" w:w="150"/>
            </w:tcMar>
          </w:tcPr>
          <w:p>
            <w:pPr>
              <w:spacing w:after="80"/>
            </w:pPr>
            <w:r>
              <w:rPr>
                <w:rFonts w:ascii="Arial" w:cs="Arial" w:eastAsia="Arial" w:hAnsi="Arial"/>
                <w:b/>
                <w:bCs/>
                <w:sz w:val="20"/>
                <w:szCs w:val="20"/>
              </w:rPr>
              <w:t xml:space="preserve">DD Report Correction: </w:t>
            </w:r>
            <w:r>
              <w:rPr>
                <w:rFonts w:ascii="Arial" w:cs="Arial" w:eastAsia="Arial" w:hAnsi="Arial"/>
                <w:sz w:val="20"/>
                <w:szCs w:val="20"/>
              </w:rPr>
              <w:t xml:space="preserve">Microsoft Purview is NOT a direct competitor. Purview is a data governance/classification tool. The true competitive threat comes from dedicated AI red-teaming startups (Calypso AI, Credo AI), platform extensions (W&amp;B, ServiceNow), and open-source frameworks (PyRIT, Purple Llama).</w:t>
            </w:r>
          </w:p>
        </w:tc>
      </w:tr>
    </w:tbl>
    <w:p>
      <w:pPr>
        <w:pStyle w:val="Heading2"/>
        <w:spacing w:after="100" w:before="300"/>
      </w:pPr>
      <w:r>
        <w:rPr>
          <w:rFonts w:ascii="Arial" w:cs="Arial" w:eastAsia="Arial" w:hAnsi="Arial"/>
          <w:b/>
          <w:bCs/>
          <w:color w:val="1F3864"/>
          <w:sz w:val="26"/>
          <w:szCs w:val="26"/>
        </w:rPr>
        <w:t xml:space="preserve">2.1  Tier 1: Direct AI Red-Teaming / Compliance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160"/>
        <w:gridCol w:w="1200"/>
        <w:gridCol w:w="1200"/>
        <w:gridCol w:w="1200"/>
      </w:tblGrid>
      <w:t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Stage / Funding</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They Do</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Differentiator</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Threat</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Verify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Calypso 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Series A, ~$5–20M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Purpose-built LLM red-teaming: adversarial prompting, jailbreak testing, automated vulnerability scanning of LLMs.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Pure red-teaming focus; strong on adversarial test cases</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calypsoai.com, Crunchbase</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Credo AI</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Series A/B, ~$5–15M</w:t>
            </w:r>
          </w:p>
        </w:tc>
        <w:tc>
          <w:tcPr>
            <w:tcW w:type="dxa" w:w="3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AI governance &amp; compliance platform. Regulatory framework mapping (EU AI Act, NIST), audit trail generation, bias testing.</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Strongest on compliance documentation</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MEDIUM-HIGH</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credo.ai, Crunchbase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Holistic 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Series A, ~$3–10M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AI model governance, fairness testing, bias detection, compliance automation.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Fairness &amp; bias metrics focus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holisticai.com</w:t>
            </w:r>
          </w:p>
        </w:tc>
      </w:tr>
    </w:tbl>
    <w:p>
      <w:pPr>
        <w:pStyle w:val="Heading2"/>
        <w:spacing w:after="100" w:before="300"/>
      </w:pPr>
      <w:r>
        <w:rPr>
          <w:rFonts w:ascii="Arial" w:cs="Arial" w:eastAsia="Arial" w:hAnsi="Arial"/>
          <w:b/>
          <w:bCs/>
          <w:color w:val="1F3864"/>
          <w:sz w:val="26"/>
          <w:szCs w:val="26"/>
        </w:rPr>
        <w:t xml:space="preserve">2.2  Tier 2: Platforms Extending into AI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160"/>
        <w:gridCol w:w="1200"/>
        <w:gridCol w:w="1200"/>
        <w:gridCol w:w="1200"/>
      </w:tblGrid>
      <w:t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They Do</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Differentiator</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Threat</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Verify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Arthur 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Series B/C, $30–50M+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ML monitoring &amp; governance. Drift detection, explainability, fairness; added AI governance/compliance modules.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Monitoring → governance pivot</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arthur.ai</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Weights &amp; Biases</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Series C/D, $200M+</w:t>
            </w:r>
          </w:p>
        </w:tc>
        <w:tc>
          <w:tcPr>
            <w:tcW w:type="dxa" w:w="3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ML experiment tracking, model registry. Massive installed base. Recently added AI safety and evaluation modules.</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Huge incumbency; platform play</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MEDIUM-HIGH</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wandb.ai</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bCs/>
                <w:color w:val="000000"/>
                <w:sz w:val="18"/>
                <w:szCs w:val="18"/>
              </w:rPr>
              <w:t xml:space="preserve">IBM watsonx.governance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In-house (IBM)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Governance for AI/ML models; compliance, fairness, explainability tracking. Heavy enterprise focus.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Strong with large enterprise; weaker on red-teaming</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ibm.com/watsonx</w:t>
            </w:r>
          </w:p>
        </w:tc>
      </w:tr>
    </w:tbl>
    <w:p>
      <w:pPr>
        <w:pStyle w:val="Heading2"/>
        <w:spacing w:after="100" w:before="300"/>
      </w:pPr>
      <w:r>
        <w:rPr>
          <w:rFonts w:ascii="Arial" w:cs="Arial" w:eastAsia="Arial" w:hAnsi="Arial"/>
          <w:b/>
          <w:bCs/>
          <w:color w:val="1F3864"/>
          <w:sz w:val="26"/>
          <w:szCs w:val="26"/>
        </w:rPr>
        <w:t xml:space="preserve">2.3  Tier 3: GRC Incumbents Adding AI Modules</w:t>
      </w:r>
    </w:p>
    <w:p>
      <w:pPr>
        <w:spacing w:after="80"/>
      </w:pPr>
      <w:r>
        <w:rPr>
          <w:rFonts w:ascii="Arial" w:cs="Arial" w:eastAsia="Arial" w:hAnsi="Arial"/>
          <w:b w:val="false"/>
          <w:bCs w:val="false"/>
          <w:color w:val="000000"/>
          <w:sz w:val="20"/>
          <w:szCs w:val="20"/>
        </w:rPr>
        <w:t xml:space="preserve">These companies are adding AI compliance wrappers to existing GRC platforms. They represent distribution/bundling threats, not technical threats. None are focused on adversarial red-teaming.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560"/>
        <w:gridCol w:w="180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AI Module Status</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Maturity</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Threat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ServiceNow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AI governance module in platform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Early-Mid</w:t>
            </w:r>
          </w:p>
        </w:tc>
        <w:tc>
          <w:tcPr>
            <w:tcW w:type="dxa" w:w="156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MEDIUM-HIGH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Federal customer base; bundling power</w:t>
            </w:r>
          </w:p>
        </w:tc>
      </w:tr>
      <w:tr>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Vanta</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AI risk assessment, LLM compliance added</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Early</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Cross-sell to existing GRC customers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OneTrust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AI governance suite (OneTrust.ai)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Early</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GRC consolidation play</w:t>
            </w:r>
          </w:p>
        </w:tc>
      </w:tr>
      <w:tr>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Drata</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Partial — AI tool integrations</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Very Early</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pPr>
            <w:r>
              <w:rPr>
                <w:rFonts w:ascii="Arial" w:cs="Arial" w:eastAsia="Arial" w:hAnsi="Arial"/>
                <w:b/>
                <w:bCs/>
                <w:color w:val="375623"/>
                <w:sz w:val="18"/>
                <w:szCs w:val="18"/>
              </w:rPr>
              <w:t xml:space="preserve">LOW</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Not yet focused on AI governance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BigID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PII detection for AI outputs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Very Early</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20"/>
            </w:pPr>
            <w:r>
              <w:rPr>
                <w:rFonts w:ascii="Arial" w:cs="Arial" w:eastAsia="Arial" w:hAnsi="Arial"/>
                <w:b/>
                <w:bCs/>
                <w:color w:val="375623"/>
                <w:sz w:val="18"/>
                <w:szCs w:val="18"/>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Data-centric, not compliance testing</w:t>
            </w:r>
          </w:p>
        </w:tc>
      </w:tr>
    </w:tbl>
    <w:p>
      <w:r>
        <w:br w:type="page"/>
      </w:r>
    </w:p>
    <w:p>
      <w:pPr>
        <w:pStyle w:val="Heading2"/>
        <w:spacing w:after="100" w:before="300"/>
      </w:pPr>
      <w:r>
        <w:rPr>
          <w:rFonts w:ascii="Arial" w:cs="Arial" w:eastAsia="Arial" w:hAnsi="Arial"/>
          <w:b/>
          <w:bCs/>
          <w:color w:val="1F3864"/>
          <w:sz w:val="26"/>
          <w:szCs w:val="26"/>
        </w:rPr>
        <w:t xml:space="preserve">2.4  Tier 4: Big Tech Native Capabilities</w:t>
      </w:r>
    </w:p>
    <w:p>
      <w:pPr>
        <w:spacing w:after="80"/>
      </w:pPr>
      <w:r>
        <w:rPr>
          <w:rFonts w:ascii="Arial" w:cs="Arial" w:eastAsia="Arial" w:hAnsi="Arial"/>
          <w:b/>
          <w:bCs/>
          <w:sz w:val="20"/>
          <w:szCs w:val="20"/>
        </w:rPr>
        <w:t xml:space="preserve">Key finding: </w:t>
      </w:r>
      <w:r>
        <w:rPr>
          <w:rFonts w:ascii="Arial" w:cs="Arial" w:eastAsia="Arial" w:hAnsi="Arial"/>
          <w:sz w:val="20"/>
          <w:szCs w:val="20"/>
        </w:rPr>
        <w:t xml:space="preserve">No big tech company has built a unified, self-serve AI red-teaming platform yet. They have point solutions (content filtering, monitoring, fairness tools) but not integrated adversarial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2000"/>
        <w:gridCol w:w="240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3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They Offer</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Threat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Microsoft Azure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Content Safety (harmful content detection); Responsible AI Dashboard (fairness/explainability). Purview is data governance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No unified red-teaming platform. Fragmented.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MEDIUM — Content Safety addresses a slice but not full compliance testing</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Google Cloud</w:t>
            </w:r>
          </w:p>
        </w:tc>
        <w:tc>
          <w:tcPr>
            <w:tcW w:type="dxa" w:w="3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Vertex AI Model Evaluation; AI Explanations; Responsible AI Toolkit (open source).</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Lightweight; not a managed compliance service.</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MEDIUM-LOW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AWS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Bedrock Guardrails (content/PII filtering); SageMaker Monitor (drift).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Guardrails are narrow; not adversarial red-teaming.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MEDIUM-LOW</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OpenAI</w:t>
            </w:r>
          </w:p>
        </w:tc>
        <w:tc>
          <w:tcPr>
            <w:tcW w:type="dxa" w:w="3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Red Team Program (contracted service, limited capacity); Moderation API.</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Services model, not self-serve platform. Capacity-constrained.</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Anthropic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Constitutional AI, safety evals (research/open). Not a commercial governance product.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Research-driven. No enterprise compliance product.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LOW</w:t>
            </w:r>
          </w:p>
        </w:tc>
      </w:tr>
    </w:tbl>
    <w:p>
      <w:pPr>
        <w:pStyle w:val="Heading2"/>
        <w:spacing w:after="100" w:before="300"/>
      </w:pPr>
      <w:r>
        <w:rPr>
          <w:rFonts w:ascii="Arial" w:cs="Arial" w:eastAsia="Arial" w:hAnsi="Arial"/>
          <w:b/>
          <w:bCs/>
          <w:color w:val="1F3864"/>
          <w:sz w:val="26"/>
          <w:szCs w:val="26"/>
        </w:rPr>
        <w:t xml:space="preserve">2.5  Tier 5: Open-Source / Free Alternatives</w:t>
      </w:r>
    </w:p>
    <w:p>
      <w:pPr>
        <w:spacing w:after="80"/>
      </w:pPr>
      <w:r>
        <w:rPr>
          <w:rFonts w:ascii="Arial" w:cs="Arial" w:eastAsia="Arial" w:hAnsi="Arial"/>
          <w:b w:val="false"/>
          <w:bCs w:val="false"/>
          <w:color w:val="000000"/>
          <w:sz w:val="20"/>
          <w:szCs w:val="20"/>
        </w:rPr>
        <w:t xml:space="preserve">This is the thin-wrapper risk vector. If the testing frameworks are free, what is the commercial platform actually 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400"/>
        <w:gridCol w:w="16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Framework</w:t>
            </w:r>
          </w:p>
        </w:tc>
        <w:tc>
          <w:tcPr>
            <w:tcW w:type="dxa" w:w="4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Maturity</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Threat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Microsoft PyRIT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Open-source Python toolkit for LLM red-teaming. Attack scenarios, scoring, automated prompt injection/jailbreak testing.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Active dev (2024+)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MEDIUM-HIGH</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Meta Purple Llama / CyberSecEval</w:t>
            </w:r>
          </w:p>
        </w:tc>
        <w:tc>
          <w:tcPr>
            <w:tcW w:type="dxa" w:w="4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Security evaluation framework for LLMs. Cyber-focused test cases and red-teaming scorecards.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Open source (2024)</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OWASP LLM Top 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Community framework and benchmark tests for LLM vulnerabilities. Reference material, not a product.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Reference std.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MEDIUM (defines the test space)</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Anthropic Evals</w:t>
            </w:r>
          </w:p>
        </w:tc>
        <w:tc>
          <w:tcPr>
            <w:tcW w:type="dxa" w:w="4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Constitutional AI evaluation harnesses. Powerful but requires ML engineering to operationalize.</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Research</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MEDIUM</w:t>
            </w:r>
          </w:p>
        </w:tc>
      </w:tr>
    </w:tbl>
    <w:p>
      <w:pPr>
        <w:spacing w:after="80"/>
      </w:pPr>
      <w:r>
        <w:rPr>
          <w:rFonts w:ascii="Arial" w:cs="Arial" w:eastAsia="Arial" w:hAnsi="Arial"/>
          <w:b/>
          <w:bCs/>
          <w:sz w:val="20"/>
          <w:szCs w:val="20"/>
        </w:rPr>
        <w:t xml:space="preserve">The gap open source doesn’t fill: </w:t>
      </w:r>
      <w:r>
        <w:rPr>
          <w:rFonts w:ascii="Arial" w:cs="Arial" w:eastAsia="Arial" w:hAnsi="Arial"/>
          <w:sz w:val="20"/>
          <w:szCs w:val="20"/>
        </w:rPr>
        <w:t xml:space="preserve">UI/UX for non-technical users, automation &amp; scheduling, CI/CD integration, compliance report generation (SOC 2, ISO 27001), multi-model support, audit trails for governance. A commercial platform has to wrap these around the free testing frameworks. The question is whether that wrapper alone is defensible.</w:t>
      </w:r>
    </w:p>
    <w:p>
      <w:r>
        <w:br w:type="page"/>
      </w:r>
    </w:p>
    <w:p>
      <w:pPr>
        <w:pStyle w:val="Heading2"/>
        <w:spacing w:after="100" w:before="300"/>
      </w:pPr>
      <w:r>
        <w:rPr>
          <w:rFonts w:ascii="Arial" w:cs="Arial" w:eastAsia="Arial" w:hAnsi="Arial"/>
          <w:b/>
          <w:bCs/>
          <w:color w:val="1F3864"/>
          <w:sz w:val="26"/>
          <w:szCs w:val="26"/>
        </w:rPr>
        <w:t xml:space="preserve">2.6  Thin Wrapper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pPr>
              <w:spacing w:after="60"/>
            </w:pPr>
            <w:r>
              <w:rPr>
                <w:rFonts w:ascii="Arial" w:cs="Arial" w:eastAsia="Arial" w:hAnsi="Arial"/>
                <w:b/>
                <w:bCs/>
                <w:sz w:val="22"/>
                <w:szCs w:val="22"/>
              </w:rPr>
              <w:t xml:space="preserve">Thin Wrapper Risk: MEDIUM-HIGH (without further diligence)</w:t>
            </w:r>
          </w:p>
          <w:p>
            <w:pPr>
              <w:spacing w:after="60"/>
            </w:pPr>
            <w:r>
              <w:rPr>
                <w:rFonts w:ascii="Arial" w:cs="Arial" w:eastAsia="Arial" w:hAnsi="Arial"/>
                <w:sz w:val="20"/>
                <w:szCs w:val="20"/>
              </w:rPr>
              <w:t xml:space="preserve">The core red-teaming techniques are published. Testing frameworks (PyRIT, Purple Llama) are free. LLM APIs are commodity. If Synergist is primarily a UI wrapper around public frameworks + API calls with a compliance report template, it is replicable in 48 hours.</w:t>
            </w:r>
          </w:p>
          <w:p>
            <w:r>
              <w:rPr>
                <w:rFonts w:ascii="Arial" w:cs="Arial" w:eastAsia="Arial" w:hAnsi="Arial"/>
                <w:sz w:val="20"/>
                <w:szCs w:val="20"/>
              </w:rPr>
              <w:t xml:space="preserve">HOWEVER — Synergist could have a defensible moat IF: (1) proprietary federal compliance test case library, (2) deep CDW distribution integration, (3) operational moat from government customer relationships, (4) memory lock-in (platform gets smarter with use). These must be validated in the Product/Tech demo.</w:t>
            </w:r>
          </w:p>
        </w:tc>
      </w:tr>
    </w:tbl>
    <w:p>
      <w:pPr>
        <w:spacing w:after="80"/>
      </w:pPr>
      <w:r>
        <w:rPr>
          <w:rFonts w:ascii="Arial" w:cs="Arial" w:eastAsia="Arial" w:hAnsi="Arial"/>
          <w:b w:val="false"/>
          <w:bCs w:val="false"/>
          <w:color w:val="000000"/>
          <w:sz w:val="20"/>
          <w:szCs w:val="20"/>
        </w:rPr>
        <w:t xml:space="preserve">Questions to resolve thin wrapper risk (for Product/Tech meeting):</w:t>
      </w:r>
    </w:p>
    <w:p>
      <w:pPr>
        <w:pStyle w:val="ListParagraph"/>
        <w:numPr>
          <w:ilvl w:val="0"/>
          <w:numId w:val="2"/>
        </w:numPr>
        <w:spacing w:after="40"/>
      </w:pPr>
      <w:r>
        <w:rPr>
          <w:rFonts w:ascii="Arial" w:cs="Arial" w:eastAsia="Arial" w:hAnsi="Arial"/>
          <w:sz w:val="20"/>
          <w:szCs w:val="20"/>
        </w:rPr>
        <w:t xml:space="preserve">What % of the test case library is proprietary vs. derived from OWASP, PyRIT, or public research?</w:t>
      </w:r>
    </w:p>
    <w:p>
      <w:pPr>
        <w:pStyle w:val="ListParagraph"/>
        <w:numPr>
          <w:ilvl w:val="0"/>
          <w:numId w:val="2"/>
        </w:numPr>
        <w:spacing w:after="40"/>
      </w:pPr>
      <w:r>
        <w:rPr>
          <w:rFonts w:ascii="Arial" w:cs="Arial" w:eastAsia="Arial" w:hAnsi="Arial"/>
          <w:sz w:val="20"/>
          <w:szCs w:val="20"/>
        </w:rPr>
        <w:t xml:space="preserve">How is the library updated? Who maintains it? How often?</w:t>
      </w:r>
    </w:p>
    <w:p>
      <w:pPr>
        <w:pStyle w:val="ListParagraph"/>
        <w:numPr>
          <w:ilvl w:val="0"/>
          <w:numId w:val="2"/>
        </w:numPr>
        <w:spacing w:after="40"/>
      </w:pPr>
      <w:r>
        <w:rPr>
          <w:rFonts w:ascii="Arial" w:cs="Arial" w:eastAsia="Arial" w:hAnsi="Arial"/>
          <w:sz w:val="20"/>
          <w:szCs w:val="20"/>
        </w:rPr>
        <w:t xml:space="preserve">Show the technical architecture. Is the core innovation in testing methodology, or in integration/reporting?</w:t>
      </w:r>
    </w:p>
    <w:p>
      <w:pPr>
        <w:pStyle w:val="ListParagraph"/>
        <w:numPr>
          <w:ilvl w:val="0"/>
          <w:numId w:val="2"/>
        </w:numPr>
        <w:spacing w:after="40"/>
      </w:pPr>
      <w:r>
        <w:rPr>
          <w:rFonts w:ascii="Arial" w:cs="Arial" w:eastAsia="Arial" w:hAnsi="Arial"/>
          <w:sz w:val="20"/>
          <w:szCs w:val="20"/>
        </w:rPr>
        <w:t xml:space="preserve">What is the memory lock-in? Does the platform get smarter with more customer usage?</w:t>
      </w:r>
    </w:p>
    <w:p>
      <w:pPr>
        <w:pStyle w:val="ListParagraph"/>
        <w:numPr>
          <w:ilvl w:val="0"/>
          <w:numId w:val="2"/>
        </w:numPr>
        <w:spacing w:after="40"/>
      </w:pPr>
      <w:r>
        <w:rPr>
          <w:rFonts w:ascii="Arial" w:cs="Arial" w:eastAsia="Arial" w:hAnsi="Arial"/>
          <w:sz w:val="20"/>
          <w:szCs w:val="20"/>
        </w:rPr>
        <w:t xml:space="preserve">Can you show a side-by-side comparison vs. Calypso AI, Credo AI, and a custom PyRIT implementation?</w:t>
      </w:r>
    </w:p>
    <w:p>
      <w:pPr>
        <w:pStyle w:val="ListParagraph"/>
        <w:numPr>
          <w:ilvl w:val="0"/>
          <w:numId w:val="2"/>
        </w:numPr>
        <w:spacing w:after="40"/>
      </w:pPr>
      <w:r>
        <w:rPr>
          <w:rFonts w:ascii="Arial" w:cs="Arial" w:eastAsia="Arial" w:hAnsi="Arial"/>
          <w:sz w:val="20"/>
          <w:szCs w:val="20"/>
        </w:rPr>
        <w:t xml:space="preserve">What is the federal compliance differentiation that competitors can’t replicate in 6 months?</w:t>
      </w:r>
    </w:p>
    <w:p>
      <w:pPr>
        <w:pStyle w:val="Heading2"/>
        <w:spacing w:after="100" w:before="300"/>
      </w:pPr>
      <w:r>
        <w:rPr>
          <w:rFonts w:ascii="Arial" w:cs="Arial" w:eastAsia="Arial" w:hAnsi="Arial"/>
          <w:b/>
          <w:bCs/>
          <w:color w:val="1F3864"/>
          <w:sz w:val="26"/>
          <w:szCs w:val="26"/>
        </w:rPr>
        <w:t xml:space="preserve">2.7  Acquisition Precedents</w:t>
      </w:r>
    </w:p>
    <w:p>
      <w:pPr>
        <w:spacing w:after="80"/>
      </w:pPr>
      <w:r>
        <w:rPr>
          <w:rFonts w:ascii="Arial" w:cs="Arial" w:eastAsia="Arial" w:hAnsi="Arial"/>
          <w:b w:val="false"/>
          <w:bCs w:val="false"/>
          <w:color w:val="000000"/>
          <w:sz w:val="20"/>
          <w:szCs w:val="20"/>
        </w:rPr>
        <w:t xml:space="preserve">Exit thesis context: Have AI governance/compliance startups been acquired? At what 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1560"/>
        <w:gridCol w:w="260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Acquired By</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Robust Intelligence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Cisco (Security)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2023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$10–20M (est.)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AI model testing; validates market but small exit</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WhyLabs</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Stanza/Relativity</w:t>
            </w:r>
          </w:p>
        </w:tc>
        <w:tc>
          <w:tcPr>
            <w:tcW w:type="dxa" w:w="1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2023+</w:t>
            </w:r>
          </w:p>
        </w:tc>
        <w:tc>
          <w:tcPr>
            <w:tcW w:type="dxa" w:w="1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Undisclosed</w:t>
            </w:r>
          </w:p>
        </w:tc>
        <w:tc>
          <w:tcPr>
            <w:tcW w:type="dxa" w:w="2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ML monitoring; consolidation into broader platform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Kolena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Relativity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2024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~$20M (est.)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AI testing &amp; data curation; rolled into larger platform</w:t>
            </w:r>
          </w:p>
        </w:tc>
      </w:tr>
    </w:tbl>
    <w:p>
      <w:pPr>
        <w:spacing w:after="80"/>
      </w:pPr>
      <w:r>
        <w:rPr>
          <w:rFonts w:ascii="Arial" w:cs="Arial" w:eastAsia="Arial" w:hAnsi="Arial"/>
          <w:b/>
          <w:bCs/>
          <w:sz w:val="20"/>
          <w:szCs w:val="20"/>
        </w:rPr>
        <w:t xml:space="preserve">Pattern: </w:t>
      </w:r>
      <w:r>
        <w:rPr>
          <w:rFonts w:ascii="Arial" w:cs="Arial" w:eastAsia="Arial" w:hAnsi="Arial"/>
          <w:sz w:val="20"/>
          <w:szCs w:val="20"/>
        </w:rPr>
        <w:t xml:space="preserve">Small exits ($10–20M) into security/platform acquirers. No breakaway $100M+ exits yet in pure AI red-teaming. Exit via strategic acquisition (MSFT, AWS, ServiceNow, Vanta) is the most likely path; IPO is unlikely at this scale. This aligns with our “window + exit before giants build it” thesis, but the exit multiples are concerning for a 10x return target.</w:t>
      </w:r>
    </w:p>
    <w:p>
      <w:pPr>
        <w:spacing w:after="80"/>
      </w:pPr>
      <w:r>
        <w:rPr>
          <w:rFonts w:ascii="Arial" w:cs="Arial" w:eastAsia="Arial" w:hAnsi="Arial"/>
          <w:b w:val="false"/>
          <w:bCs w:val="false"/>
          <w:color w:val="000000"/>
          <w:sz w:val="20"/>
          <w:szCs w:val="20"/>
        </w:rPr>
        <w:t xml:space="preserve">Recommended verification: Check Crunchbase/PitchBook for current funding and acquisition data on all named companies.</w:t>
      </w:r>
    </w:p>
    <w:p>
      <w:r>
        <w:br w:type="page"/>
      </w:r>
    </w:p>
    <w:p>
      <w:pPr>
        <w:pStyle w:val="Heading2"/>
        <w:spacing w:after="100" w:before="300"/>
      </w:pPr>
      <w:r>
        <w:rPr>
          <w:rFonts w:ascii="Arial" w:cs="Arial" w:eastAsia="Arial" w:hAnsi="Arial"/>
          <w:b/>
          <w:bCs/>
          <w:color w:val="1F3864"/>
          <w:sz w:val="26"/>
          <w:szCs w:val="26"/>
        </w:rPr>
        <w:t xml:space="preserve">2.8  Corrected Competitive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360"/>
        <w:gridCol w:w="1800"/>
        <w:gridCol w:w="180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Competitor</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Key Threat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Threat Level</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Window to Defend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Calypso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Direct Red-Teaming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Purpose-built for LLM red-teaming; well-funded</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12–18 months</w:t>
            </w:r>
          </w:p>
        </w:tc>
      </w:tr>
      <w:tr>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Credo AI</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Compliance + Testing</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Regulatory compliance docs; weaker on red-teaming</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MEDIUM-HIGH</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12–24 months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W&amp;B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Platform Extension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Massive installed base; building AI governance in</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MEDIUM-HIGH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18–36 months</w:t>
            </w:r>
          </w:p>
        </w:tc>
      </w:tr>
      <w:tr>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ServiceNow</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Platform Threat</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Federal customer base; can bundle AI governance</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MEDIUM-HIGH</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12–24 months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Vanta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GRC Cross-Sell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Cross-sell to existing federal compliance customers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6–12 months</w:t>
            </w:r>
          </w:p>
        </w:tc>
      </w:tr>
      <w:tr>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Azure AI</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Native Capability</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Content Safety + Dashboard; not full red-team yet</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18–36 months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PyRIT (open source)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Technical Threat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Free red-teaming framework; commercialization risk</w:t>
            </w:r>
          </w:p>
        </w:tc>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20"/>
            </w:pPr>
            <w:r>
              <w:rPr>
                <w:rFonts w:ascii="Arial" w:cs="Arial" w:eastAsia="Arial" w:hAnsi="Arial"/>
                <w:b/>
                <w:bCs/>
                <w:color w:val="C00000"/>
                <w:sz w:val="18"/>
                <w:szCs w:val="18"/>
              </w:rPr>
              <w:t xml:space="preserve">MEDIUM-HIGH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Ongoing</w:t>
            </w:r>
          </w:p>
        </w:tc>
      </w:tr>
      <w:tr>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Holistic AI</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Compliance Testing</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Some overlap; weaker on adversarial testing</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12–24 months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Arthur / Fiddler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Monitoring Platforms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Monitoring → governance; not red-teaming</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20"/>
            </w:pPr>
            <w:r>
              <w:rPr>
                <w:rFonts w:ascii="Arial" w:cs="Arial" w:eastAsia="Arial" w:hAnsi="Arial"/>
                <w:b/>
                <w:bCs/>
                <w:color w:val="000000"/>
                <w:sz w:val="18"/>
                <w:szCs w:val="18"/>
              </w:rPr>
              <w:t xml:space="preserve">MEDIUM-LOW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pPr>
            <w:r>
              <w:rPr>
                <w:rFonts w:ascii="Arial" w:cs="Arial" w:eastAsia="Arial" w:hAnsi="Arial"/>
                <w:b w:val="false"/>
                <w:bCs w:val="false"/>
                <w:color w:val="000000"/>
                <w:sz w:val="18"/>
                <w:szCs w:val="18"/>
              </w:rPr>
              <w:t xml:space="preserve">18–36 months</w:t>
            </w:r>
          </w:p>
        </w:tc>
      </w:tr>
    </w:tbl>
    <w:p>
      <w:pPr>
        <w:pStyle w:val="Heading2"/>
        <w:spacing w:after="100" w:before="300"/>
      </w:pPr>
      <w:r>
        <w:rPr>
          <w:rFonts w:ascii="Arial" w:cs="Arial" w:eastAsia="Arial" w:hAnsi="Arial"/>
          <w:b/>
          <w:bCs/>
          <w:color w:val="1F3864"/>
          <w:sz w:val="26"/>
          <w:szCs w:val="26"/>
        </w:rPr>
        <w:t xml:space="preserve">2.9  Bottom Line for Diligence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80"/>
            </w:pPr>
            <w:r>
              <w:rPr>
                <w:rFonts w:ascii="Arial" w:cs="Arial" w:eastAsia="Arial" w:hAnsi="Arial"/>
                <w:b/>
                <w:bCs/>
                <w:color w:val="1F3864"/>
                <w:sz w:val="22"/>
                <w:szCs w:val="22"/>
              </w:rPr>
              <w:t xml:space="preserve">The market is real. The competition is real. The question is Synergist.</w:t>
            </w:r>
          </w:p>
          <w:p>
            <w:pPr>
              <w:pStyle w:val="ListParagraph"/>
              <w:numPr>
                <w:ilvl w:val="0"/>
                <w:numId w:val="2"/>
              </w:numPr>
              <w:spacing w:after="40"/>
            </w:pPr>
            <w:r>
              <w:rPr>
                <w:rFonts w:ascii="Arial" w:cs="Arial" w:eastAsia="Arial" w:hAnsi="Arial"/>
                <w:sz w:val="20"/>
                <w:szCs w:val="20"/>
              </w:rPr>
              <w:t xml:space="preserve">Demand-pull is confirmed (4.5/5). Enterprise buyers are actively procuring AI governance tools, driven by hard regulatory deadlines. This is not a manufactured category.</w:t>
            </w:r>
          </w:p>
          <w:p>
            <w:pPr>
              <w:pStyle w:val="ListParagraph"/>
              <w:numPr>
                <w:ilvl w:val="0"/>
                <w:numId w:val="2"/>
              </w:numPr>
              <w:spacing w:after="40"/>
            </w:pPr>
            <w:r>
              <w:rPr>
                <w:rFonts w:ascii="Arial" w:cs="Arial" w:eastAsia="Arial" w:hAnsi="Arial"/>
                <w:sz w:val="20"/>
                <w:szCs w:val="20"/>
              </w:rPr>
              <w:t xml:space="preserve">The competitive landscape is crowded and fast-moving. Calypso AI is the primary head-to-head competitor. Open-source frameworks (PyRIT) threaten the technical moat. GRC incumbents (Vanta, ServiceNow) threaten the distribution moat.</w:t>
            </w:r>
          </w:p>
          <w:p>
            <w:pPr>
              <w:pStyle w:val="ListParagraph"/>
              <w:numPr>
                <w:ilvl w:val="0"/>
                <w:numId w:val="2"/>
              </w:numPr>
              <w:spacing w:after="40"/>
            </w:pPr>
            <w:r>
              <w:rPr>
                <w:rFonts w:ascii="Arial" w:cs="Arial" w:eastAsia="Arial" w:hAnsi="Arial"/>
                <w:sz w:val="20"/>
                <w:szCs w:val="20"/>
              </w:rPr>
              <w:t xml:space="preserve">Synergist’s defensibility hinges entirely on the Product/Tech demo answers: Is this proprietary testing methodology, or a wrapper around public frameworks? Is the federal compliance depth real? Does the CDW channel provide durable distribution advantage?</w:t>
            </w:r>
          </w:p>
          <w:p>
            <w:pPr>
              <w:pStyle w:val="ListParagraph"/>
              <w:numPr>
                <w:ilvl w:val="0"/>
                <w:numId w:val="2"/>
              </w:numPr>
              <w:spacing w:after="40"/>
            </w:pPr>
            <w:r>
              <w:rPr>
                <w:rFonts w:ascii="Arial" w:cs="Arial" w:eastAsia="Arial" w:hAnsi="Arial"/>
                <w:sz w:val="20"/>
                <w:szCs w:val="20"/>
              </w:rPr>
              <w:t xml:space="preserve">The “window + exit” thesis is plausible but the acquisition comps are small ($10–20M). For a 10x return, Synergist needs to either (a) build meaningfully more ARR than precedent exits suggest, or (b) catch a strategic acquirer at the right moment.</w:t>
            </w:r>
          </w:p>
          <w:p>
            <w:pPr>
              <w:spacing w:before="80"/>
            </w:pPr>
            <w:r>
              <w:rPr>
                <w:rFonts w:ascii="Arial" w:cs="Arial" w:eastAsia="Arial" w:hAnsi="Arial"/>
                <w:b/>
                <w:bCs/>
                <w:sz w:val="20"/>
                <w:szCs w:val="20"/>
              </w:rPr>
              <w:t xml:space="preserve">Recommendation: These findings do not change the ADVANCE decision. They sharpen the questions for the Product/Tech demo and inform what “good answers” look like from Synergist.</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Synergist Technology — Market Intelligence &amp; Competitive Landscape  |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color w:val="888888"/>
        <w:sz w:val="14"/>
        <w:szCs w:val="14"/>
      </w:rPr>
      <w:t xml:space="preserve">NWAi TechGroup  |  Synergist Technology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2026-04-01T11:00:23.549Z</dcterms:created>
  <dcterms:modified xsi:type="dcterms:W3CDTF">2026-04-01T11:00:23.549Z</dcterms:modified>
</cp:coreProperties>
</file>

<file path=docProps/custom.xml><?xml version="1.0" encoding="utf-8"?>
<Properties xmlns="http://schemas.openxmlformats.org/officeDocument/2006/custom-properties" xmlns:vt="http://schemas.openxmlformats.org/officeDocument/2006/docPropsVTypes"/>
</file>