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360"/>
              <w:left w:type="dxa" w:w="360"/>
              <w:bottom w:type="dxa" w:w="360"/>
              <w:right w:type="dxa" w:w="360"/>
            </w:tcMar>
          </w:tcPr>
          <w:p>
            <w:pPr>
              <w:spacing w:after="80" w:before="0"/>
              <w:jc w:val="center"/>
            </w:pPr>
            <w:r>
              <w:rPr>
                <w:rFonts w:ascii="Arial" w:cs="Arial" w:eastAsia="Arial" w:hAnsi="Arial"/>
                <w:b/>
                <w:bCs/>
                <w:color w:val="A9C4E8"/>
                <w:sz w:val="24"/>
                <w:szCs w:val="24"/>
              </w:rPr>
              <w:t xml:space="preserve">NWAi TechGroup</w:t>
            </w:r>
          </w:p>
          <w:p>
            <w:pPr>
              <w:spacing w:after="160" w:before="0"/>
              <w:jc w:val="center"/>
            </w:pPr>
            <w:r>
              <w:rPr>
                <w:rFonts w:ascii="Arial" w:cs="Arial" w:eastAsia="Arial" w:hAnsi="Arial"/>
                <w:b/>
                <w:bCs/>
                <w:color w:val="FFFFFF"/>
                <w:sz w:val="40"/>
                <w:szCs w:val="40"/>
              </w:rPr>
              <w:t xml:space="preserve">Managed Agents Architecture</w:t>
            </w:r>
          </w:p>
          <w:p>
            <w:pPr>
              <w:spacing w:after="80" w:before="0"/>
              <w:jc w:val="center"/>
            </w:pPr>
            <w:r>
              <w:rPr>
                <w:rFonts w:ascii="Arial" w:cs="Arial" w:eastAsia="Arial" w:hAnsi="Arial"/>
                <w:color w:val="A9C4E8"/>
                <w:sz w:val="24"/>
                <w:szCs w:val="24"/>
              </w:rPr>
              <w:t xml:space="preserve">Pipeline Evolution Reference</w:t>
            </w:r>
          </w:p>
          <w:p>
            <w:pPr>
              <w:spacing w:after="0" w:before="160"/>
              <w:jc w:val="center"/>
            </w:pPr>
            <w:r>
              <w:rPr>
                <w:rFonts w:ascii="Arial" w:cs="Arial" w:eastAsia="Arial" w:hAnsi="Arial"/>
                <w:color w:val="A9C4E8"/>
                <w:sz w:val="20"/>
                <w:szCs w:val="20"/>
              </w:rPr>
              <w:t xml:space="preserve">April 2026  |  v1.0  |  </w:t>
            </w:r>
            <w:r>
              <w:rPr>
                <w:rFonts w:ascii="Arial" w:cs="Arial" w:eastAsia="Arial" w:hAnsi="Arial"/>
                <w:b/>
                <w:bCs/>
                <w:color w:val="FFC000"/>
                <w:sz w:val="20"/>
                <w:szCs w:val="20"/>
              </w:rPr>
              <w:t xml:space="preserve">INTERNAL — TECHGROUP LEADERSHIP</w:t>
            </w:r>
          </w:p>
        </w:tc>
      </w:tr>
    </w:tbl>
    <w:p>
      <w:pPr>
        <w:spacing w:after="8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2E4F8A" w:val="clear"/>
            <w:tcMar>
              <w:top w:type="dxa" w:w="120"/>
              <w:left w:type="dxa" w:w="180"/>
              <w:bottom w:type="dxa" w:w="120"/>
              <w:right w:type="dxa" w:w="180"/>
            </w:tcMar>
            <w:vAlign w:val="center"/>
          </w:tcPr>
          <w:p>
            <w:pPr>
              <w:spacing w:after="0" w:before="0"/>
              <w:jc w:val="center"/>
            </w:pPr>
            <w:r>
              <w:rPr>
                <w:rFonts w:ascii="Arial" w:cs="Arial" w:eastAsia="Arial" w:hAnsi="Arial"/>
                <w:b/>
                <w:bCs/>
                <w:color w:val="FFFFFF"/>
                <w:sz w:val="20"/>
                <w:szCs w:val="20"/>
              </w:rPr>
              <w:t xml:space="preserve">STATUS</w:t>
            </w:r>
          </w:p>
        </w:tc>
        <w:tc>
          <w:tcPr>
            <w:tcW w:type="dxa" w:w="7760"/>
            <w:tcBorders>
              <w:top w:val="single" w:color="CCCCCC" w:sz="1"/>
              <w:left w:val="single" w:color="CCCCCC" w:sz="1"/>
              <w:bottom w:val="single" w:color="CCCCCC" w:sz="1"/>
              <w:right w:val="single" w:color="CCCCCC" w:sz="1"/>
            </w:tcBorders>
            <w:shd w:fill="D9E2F3" w:val="clear"/>
            <w:tcMar>
              <w:top w:type="dxa" w:w="120"/>
              <w:left w:type="dxa" w:w="180"/>
              <w:bottom w:type="dxa" w:w="120"/>
              <w:right w:type="dxa" w:w="180"/>
            </w:tcMar>
          </w:tcPr>
          <w:p>
            <w:pPr>
              <w:spacing w:after="0" w:before="0"/>
            </w:pPr>
            <w:r>
              <w:rPr>
                <w:rFonts w:ascii="Arial" w:cs="Arial" w:eastAsia="Arial" w:hAnsi="Arial"/>
                <w:sz w:val="20"/>
                <w:szCs w:val="20"/>
              </w:rPr>
              <w:t xml:space="preserve">Reference document — Managed Agents public beta evaluation. Use alongside nwai-techgroup-pipeline-architecture.md. Not a build commitment — a planning framework.</w:t>
            </w:r>
          </w:p>
        </w:tc>
      </w:tr>
    </w:tbl>
    <w:p>
      <w:pPr>
        <w:spacing w:after="160" w:before="80"/>
      </w:pPr>
    </w:p>
    <w:p>
      <w:pPr>
        <w:pStyle w:val="Heading1"/>
        <w:spacing w:after="120" w:before="320"/>
      </w:pPr>
      <w:r>
        <w:rPr>
          <w:rFonts w:ascii="Arial" w:cs="Arial" w:eastAsia="Arial" w:hAnsi="Arial"/>
          <w:b/>
          <w:bCs/>
          <w:color w:val="1F3864"/>
          <w:sz w:val="28"/>
          <w:szCs w:val="28"/>
        </w:rPr>
        <w:t xml:space="preserve">1 — What Changes (and What Doesn't)</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The existing NWAi TechGroup pipeline is a Cowork-native, human-in-the-loop deal workflow. Every command, every agent, every framework call happens within a single Cowork session. That works well for fast, contained tasks — AutoKill screening, Scout reports, one-shot DD Report generation. It breaks down on multi-session, multi-week workflows where context continuity is load-bearing.</w:t>
      </w:r>
    </w:p>
    <w:p>
      <w:pPr>
        <w:spacing w:after="60" w:before="60"/>
      </w:pPr>
    </w:p>
    <w:p>
      <w:pPr>
        <w:spacing w:after="60" w:before="60"/>
      </w:pPr>
      <w:r>
        <w:rPr>
          <w:rFonts w:ascii="Arial" w:cs="Arial" w:eastAsia="Arial" w:hAnsi="Arial"/>
          <w:b w:val="false"/>
          <w:bCs w:val="false"/>
          <w:color w:val="000000"/>
          <w:sz w:val="22"/>
          <w:szCs w:val="22"/>
        </w:rPr>
        <w:t xml:space="preserve">Managed Agents does not replace the pipeline. It adds a persistence and parallelism layer underneath it. The commands stay. The frameworks stay. The human review gates stay. What changes is that the research-heavy, context-sensitive stages — primarily Diligence and Post-Meeting Analysis — get a durable session that survives across days and weeks rather than resetting at every Cowork login.</w:t>
      </w:r>
    </w:p>
    <w:p>
      <w:pPr>
        <w:spacing w:after="10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375623" w:val="clear"/>
            <w:tcMar>
              <w:top w:type="dxa" w:w="120"/>
              <w:left w:type="dxa" w:w="180"/>
              <w:bottom w:type="dxa" w:w="120"/>
              <w:right w:type="dxa" w:w="180"/>
            </w:tcMar>
            <w:vAlign w:val="center"/>
          </w:tcPr>
          <w:p>
            <w:pPr>
              <w:spacing w:after="0" w:before="0"/>
              <w:jc w:val="center"/>
            </w:pPr>
            <w:r>
              <w:rPr>
                <w:rFonts w:ascii="Arial" w:cs="Arial" w:eastAsia="Arial" w:hAnsi="Arial"/>
                <w:b/>
                <w:bCs/>
                <w:color w:val="FFFFFF"/>
                <w:sz w:val="20"/>
                <w:szCs w:val="20"/>
              </w:rPr>
              <w:t xml:space="preserve">CORE PRINCIPLE</w:t>
            </w:r>
          </w:p>
        </w:tc>
        <w:tc>
          <w:tcPr>
            <w:tcW w:type="dxa" w:w="77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sz w:val="20"/>
                <w:szCs w:val="20"/>
              </w:rPr>
              <w:t xml:space="preserve">Cowork remains the interface for human judgment. Managed Agents handles the parts of the pipeline where the machine should be doing sustained, stateful work without Jamie re-orienting it every session.</w:t>
            </w:r>
          </w:p>
        </w:tc>
      </w:tr>
    </w:tbl>
    <w:p>
      <w:pPr>
        <w:spacing w:after="60" w:before="120"/>
      </w:pPr>
    </w:p>
    <w:p>
      <w:r>
        <w:br w:type="page"/>
      </w:r>
    </w:p>
    <w:p>
      <w:pPr>
        <w:pStyle w:val="Heading1"/>
        <w:spacing w:after="120" w:before="320"/>
      </w:pPr>
      <w:r>
        <w:rPr>
          <w:rFonts w:ascii="Arial" w:cs="Arial" w:eastAsia="Arial" w:hAnsi="Arial"/>
          <w:b/>
          <w:bCs/>
          <w:color w:val="1F3864"/>
          <w:sz w:val="28"/>
          <w:szCs w:val="28"/>
        </w:rPr>
        <w:t xml:space="preserve">2 — Pipeline Stage Mapping</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The table below maps each pipeline stage to its Managed Agents fit, identifies the right execution mode, and describes what the architecture solves. Stages rated HIGH ★ are the primary implementation targets.</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400"/>
        <w:gridCol w:w="2160"/>
        <w:gridCol w:w="3000"/>
      </w:tblGrid>
      <w:tr>
        <w:tc>
          <w:tcPr>
            <w:tcW w:type="dxa" w:w="17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Pipeline Stage</w:t>
            </w:r>
          </w:p>
        </w:tc>
        <w:tc>
          <w:tcPr>
            <w:tcW w:type="dxa" w:w="1100"/>
            <w:tcBorders>
              <w:top w:val="single" w:color="CCCCCC" w:sz="1"/>
              <w:left w:val="single" w:color="CCCCCC" w:sz="1"/>
              <w:bottom w:val="single" w:color="CCCCCC" w:sz="1"/>
              <w:right w:val="single" w:color="CCCCCC" w:sz="1"/>
            </w:tcBorders>
            <w:shd w:fill="2E4F8A"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 Fit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Mode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 Point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Managed Agents Solution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 Inbox / Screening</w:t>
            </w:r>
          </w:p>
        </w:tc>
        <w:tc>
          <w:tcPr>
            <w:tcW w:type="dxa" w:w="1100"/>
            <w:tcBorders>
              <w:top w:val="single" w:color="CCCCCC" w:sz="1"/>
              <w:left w:val="single" w:color="CCCCCC" w:sz="1"/>
              <w:bottom w:val="single" w:color="CCCCCC" w:sz="1"/>
              <w:right w:val="single" w:color="CCCCCC" w:sz="1"/>
            </w:tcBorders>
            <w:shd w:fill="888888"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Manual trigger; fast gate logic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Simple subagent call is sufficient. AutoKill is stateless and fast — no persistent session needed. Cowork is the right home.</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 Scout / IntroCall</w:t>
            </w:r>
          </w:p>
        </w:tc>
        <w:tc>
          <w:tcPr>
            <w:tcW w:type="dxa" w:w="1100"/>
            <w:tcBorders>
              <w:top w:val="single" w:color="CCCCCC" w:sz="1"/>
              <w:left w:val="single" w:color="CCCCCC" w:sz="1"/>
              <w:bottom w:val="single" w:color="CCCCCC" w:sz="1"/>
              <w:right w:val="single" w:color="CCCCCC" w:sz="1"/>
            </w:tcBorders>
            <w:shd w:fill="FFC000" w:val="clear"/>
            <w:tcMar>
              <w:top w:type="dxa" w:w="80"/>
              <w:left w:type="dxa" w:w="140"/>
              <w:bottom w:type="dxa" w:w="80"/>
              <w:right w:type="dxa" w:w="140"/>
            </w:tcMar>
            <w:vAlign w:val="center"/>
          </w:tcPr>
          <w:p>
            <w:pPr>
              <w:spacing w:after="0" w:before="0"/>
              <w:jc w:val="center"/>
            </w:pPr>
            <w:r>
              <w:rPr>
                <w:rFonts w:ascii="Arial" w:cs="Arial" w:eastAsia="Arial" w:hAnsi="Arial"/>
                <w:b/>
                <w:bCs/>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Agent Team</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4 research agents run sequentially, each in separate Cowork turns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Agent Team launches company-researcher, market-analyst, competitive-intelligence, and risk-assessor in parallel. Scout synthesis agent receives all four outputs and produces the Scout report.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 Diligence</w:t>
            </w:r>
          </w:p>
        </w:tc>
        <w:tc>
          <w:tcPr>
            <w:tcW w:type="dxa" w:w="11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18"/>
                <w:szCs w:val="18"/>
              </w:rPr>
              <w:t xml:space="preserve">HIGH ★</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Agent Team + Durable Session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Multi-week, multi-session workflow. Context re-ingested from scratch each session. Research agents bottlenecked sequentially.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Primary Managed Agents target. Durable session holds thesis evolution, tracker status, and agent findings across all Diligence sessions. Agent Team runs 4 research agents in parallel. Financial-analyst subagent chains after data files confirmed.</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 Post-Meeting Analysis</w:t>
            </w:r>
          </w:p>
        </w:tc>
        <w:tc>
          <w:tcPr>
            <w:tcW w:type="dxa" w:w="110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18"/>
                <w:szCs w:val="18"/>
              </w:rPr>
              <w:t xml:space="preserve">HIGH ★</w:t>
            </w:r>
          </w:p>
        </w:tc>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Subagent + Durable Session</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3 structured meetings (Demo → GTM → Financials) span weeks. Prior meeting POV must be manually re-pasted to maintain progressive thesis thread.</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Durable session preserves the full thesis evolution across all 3 meetings. Each /post-meeting run resumes the same session: analyst POV deepens progressively without context re-ingest. Resolves the single biggest analyst continuity problem in the current workflow.</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 DD Report</w:t>
            </w:r>
          </w:p>
        </w:tc>
        <w:tc>
          <w:tcPr>
            <w:tcW w:type="dxa" w:w="1100"/>
            <w:tcBorders>
              <w:top w:val="single" w:color="CCCCCC" w:sz="1"/>
              <w:left w:val="single" w:color="CCCCCC" w:sz="1"/>
              <w:bottom w:val="single" w:color="CCCCCC" w:sz="1"/>
              <w:right w:val="single" w:color="CCCCCC" w:sz="1"/>
            </w:tcBorders>
            <w:shd w:fill="FFC000" w:val="clear"/>
            <w:tcMar>
              <w:top w:type="dxa" w:w="80"/>
              <w:left w:type="dxa" w:w="140"/>
              <w:bottom w:type="dxa" w:w="80"/>
              <w:right w:type="dxa" w:w="140"/>
            </w:tcMar>
            <w:vAlign w:val="center"/>
          </w:tcPr>
          <w:p>
            <w:pPr>
              <w:spacing w:after="0" w:before="0"/>
              <w:jc w:val="center"/>
            </w:pPr>
            <w:r>
              <w:rPr>
                <w:rFonts w:ascii="Arial" w:cs="Arial" w:eastAsia="Arial" w:hAnsi="Arial"/>
                <w:b/>
                <w:bCs/>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Subagent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Synthesis step requires 17-folder findings to already exist in context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Managed session holds completed diligence findings. DD Report subagent synthesises from durable state rather than requiring files to be re-uploaded. Reduces prep time per report run.</w:t>
            </w:r>
          </w:p>
        </w:tc>
      </w:tr>
      <w:tr>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 Decision / 📝 Memo</w:t>
            </w:r>
          </w:p>
        </w:tc>
        <w:tc>
          <w:tcPr>
            <w:tcW w:type="dxa" w:w="1100"/>
            <w:tcBorders>
              <w:top w:val="single" w:color="CCCCCC" w:sz="1"/>
              <w:left w:val="single" w:color="CCCCCC" w:sz="1"/>
              <w:bottom w:val="single" w:color="CCCCCC" w:sz="1"/>
              <w:right w:val="single" w:color="CCCCCC" w:sz="1"/>
            </w:tcBorders>
            <w:shd w:fill="888888"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18"/>
                <w:szCs w:val="18"/>
              </w:rPr>
              <w:t xml:space="preserve">LOW</w:t>
            </w:r>
          </w:p>
        </w:tc>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Human judgment call; brief output</w:t>
            </w:r>
          </w:p>
        </w:tc>
        <w:tc>
          <w:tcPr>
            <w:tcW w:type="dxa" w:w="3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Human-in-the-loop gate. Decision remains in Cowork. Memo generation is a single-shot output — no multi-session state required.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 Pipeline Monitoring</w:t>
            </w:r>
          </w:p>
        </w:tc>
        <w:tc>
          <w:tcPr>
            <w:tcW w:type="dxa" w:w="1100"/>
            <w:tcBorders>
              <w:top w:val="single" w:color="CCCCCC" w:sz="1"/>
              <w:left w:val="single" w:color="CCCCCC" w:sz="1"/>
              <w:bottom w:val="single" w:color="CCCCCC" w:sz="1"/>
              <w:right w:val="single" w:color="CCCCCC" w:sz="1"/>
            </w:tcBorders>
            <w:shd w:fill="FFC000" w:val="clear"/>
            <w:tcMar>
              <w:top w:type="dxa" w:w="80"/>
              <w:left w:type="dxa" w:w="140"/>
              <w:bottom w:type="dxa" w:w="80"/>
              <w:right w:type="dxa" w:w="140"/>
            </w:tcMar>
            <w:vAlign w:val="center"/>
          </w:tcPr>
          <w:p>
            <w:pPr>
              <w:spacing w:after="0" w:before="0"/>
              <w:jc w:val="center"/>
            </w:pPr>
            <w:r>
              <w:rPr>
                <w:rFonts w:ascii="Arial" w:cs="Arial" w:eastAsia="Arial" w:hAnsi="Arial"/>
                <w:b/>
                <w:bCs/>
                <w:color w:val="000000"/>
                <w:sz w:val="18"/>
                <w:szCs w:val="18"/>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444444"/>
                <w:sz w:val="19"/>
                <w:szCs w:val="19"/>
              </w:rPr>
              <w:t xml:space="preserve">Scheduled Agent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555555"/>
                <w:sz w:val="19"/>
                <w:szCs w:val="19"/>
              </w:rPr>
              <w:t xml:space="preserve">/sync-pipeline is a manual session-start trigger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Lightweight managed agent on a schedule pulls Dealum snapshot and pushes dashboard to a shared log. Removes the manual trigger entirely.</w:t>
            </w:r>
          </w:p>
        </w:tc>
      </w:tr>
    </w:tbl>
    <w:p>
      <w:pPr>
        <w:spacing w:after="60" w:before="80"/>
      </w:pPr>
    </w:p>
    <w:p>
      <w:pPr>
        <w:spacing w:after="60" w:before="60"/>
      </w:pPr>
      <w:r>
        <w:rPr>
          <w:rFonts w:ascii="Arial" w:cs="Arial" w:eastAsia="Arial" w:hAnsi="Arial"/>
          <w:b w:val="false"/>
          <w:bCs w:val="false"/>
          <w:color w:val="666666"/>
          <w:sz w:val="19"/>
          <w:szCs w:val="19"/>
        </w:rPr>
        <w:t xml:space="preserve">Fit ratings: HIGH ★ = primary target, clear ROI, durable state is load-bearing | MEDIUM = meaningful improvement, optional parallel execution | LOW = current Cowork model is appropriate</w:t>
      </w:r>
    </w:p>
    <w:p>
      <w:pPr>
        <w:spacing w:after="120" w:before="60"/>
      </w:pPr>
    </w:p>
    <w:p>
      <w:r>
        <w:br w:type="page"/>
      </w:r>
    </w:p>
    <w:p>
      <w:pPr>
        <w:pStyle w:val="Heading1"/>
        <w:spacing w:after="120" w:before="320"/>
      </w:pPr>
      <w:r>
        <w:rPr>
          <w:rFonts w:ascii="Arial" w:cs="Arial" w:eastAsia="Arial" w:hAnsi="Arial"/>
          <w:b/>
          <w:bCs/>
          <w:color w:val="1F3864"/>
          <w:sz w:val="28"/>
          <w:szCs w:val="28"/>
        </w:rPr>
        <w:t xml:space="preserve">3 — Agent Teams vs. Subagents</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Managed Agents offers two execution patterns. The choice between them is not stylistic — it is structural. The table below defines each, and maps them explicitly to NWAi pipeline stages.</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Agent Teams (Parallel)</w:t>
            </w:r>
          </w:p>
        </w:tc>
        <w:tc>
          <w:tcPr>
            <w:tcW w:type="dxa" w:w="3780"/>
            <w:tcBorders>
              <w:top w:val="single" w:color="CCCCCC" w:sz="1"/>
              <w:left w:val="single" w:color="CCCCCC" w:sz="1"/>
              <w:bottom w:val="single" w:color="CCCCCC" w:sz="1"/>
              <w:right w:val="single" w:color="CCCCCC" w:sz="1"/>
            </w:tcBorders>
            <w:shd w:fill="2E4F8A"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Subagents (Sequential)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What it is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Multiple Claude instances running concurrently, outputs converge to orchestrator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Sequential Claude instances in same managed session, each receives prior output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Best for</w:t>
            </w:r>
          </w:p>
        </w:tc>
        <w:tc>
          <w:tcPr>
            <w:tcW w:type="dxa" w:w="33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Independent research tasks with no data dependency on each other</w:t>
            </w:r>
          </w:p>
        </w:tc>
        <w:tc>
          <w:tcPr>
            <w:tcW w:type="dxa" w:w="37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Gate-dependent logic where Step N requires Step N-1 output to proceed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NWAi use cases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Diligence research cluster: company-researcher + market-analyst + competitive-intelligence + technical-diligence all run simultaneously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AutoKill → Scout gate; Analyst POV → Tracker reconciliation; 17-folder completion → DD Report synthesis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Context model</w:t>
            </w:r>
          </w:p>
        </w:tc>
        <w:tc>
          <w:tcPr>
            <w:tcW w:type="dxa" w:w="33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Each agent gets the same seed context; outputs merged by orchestrator</w:t>
            </w:r>
          </w:p>
        </w:tc>
        <w:tc>
          <w:tcPr>
            <w:tcW w:type="dxa" w:w="37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Each subagent receives accumulated context from all prior steps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When to avoid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When agents need each other's outputs mid-run (financial-analyst needs company-researcher findings first)</w:t>
            </w:r>
          </w:p>
        </w:tc>
        <w:tc>
          <w:tcPr>
            <w:tcW w:type="dxa" w:w="3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sz w:val="19"/>
                <w:szCs w:val="19"/>
              </w:rPr>
              <w:t xml:space="preserve">When tasks are genuinely independent — sequential bottlenecks waste wall-clock time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color w:val="1F3864"/>
                <w:sz w:val="20"/>
                <w:szCs w:val="20"/>
              </w:rPr>
              <w:t xml:space="preserve">NWAi example</w:t>
            </w:r>
          </w:p>
        </w:tc>
        <w:tc>
          <w:tcPr>
            <w:tcW w:type="dxa" w:w="33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Scout research burst: 4 agents → 4 parallel runs → Scout synthesis agent aggregates into Scout Report</w:t>
            </w:r>
          </w:p>
        </w:tc>
        <w:tc>
          <w:tcPr>
            <w:tcW w:type="dxa" w:w="37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sz w:val="19"/>
                <w:szCs w:val="19"/>
              </w:rPr>
              <w:t xml:space="preserve">Post-meeting: analyst POV subagent runs first → tracker reconciliation subagent receives POV output → combined document generated</w:t>
            </w:r>
          </w:p>
        </w:tc>
      </w:tr>
    </w:tbl>
    <w:p>
      <w:pPr>
        <w:spacing w:after="120" w:before="80"/>
      </w:pPr>
    </w:p>
    <w:p>
      <w:pPr>
        <w:pStyle w:val="Heading2"/>
        <w:spacing w:after="100" w:before="240"/>
      </w:pPr>
      <w:r>
        <w:rPr>
          <w:rFonts w:ascii="Arial" w:cs="Arial" w:eastAsia="Arial" w:hAnsi="Arial"/>
          <w:b/>
          <w:bCs/>
          <w:color w:val="2E4F8A"/>
          <w:sz w:val="24"/>
          <w:szCs w:val="24"/>
        </w:rPr>
        <w:t xml:space="preserve">The Diligence Research Cluster — Agent Team Design</w:t>
      </w:r>
    </w:p>
    <w:p>
      <w:pPr>
        <w:spacing w:after="60" w:before="60"/>
      </w:pPr>
      <w:r>
        <w:rPr>
          <w:rFonts w:ascii="Arial" w:cs="Arial" w:eastAsia="Arial" w:hAnsi="Arial"/>
          <w:b w:val="false"/>
          <w:bCs w:val="false"/>
          <w:color w:val="000000"/>
          <w:sz w:val="22"/>
          <w:szCs w:val="22"/>
        </w:rPr>
        <w:t xml:space="preserve">The canonical Agent Team for NWAi is the Diligence research burst. All four research agents have independent inputs and produce independent outputs that converge at a synthesis step. Running them in parallel is structurally correct.</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160"/>
              <w:left w:type="dxa" w:w="240"/>
              <w:bottom w:type="dxa" w:w="160"/>
              <w:right w:type="dxa" w:w="240"/>
            </w:tcMar>
          </w:tcPr>
          <w:p>
            <w:pPr>
              <w:spacing w:after="60" w:before="0"/>
            </w:pPr>
            <w:r>
              <w:rPr>
                <w:rFonts w:ascii="Arial" w:cs="Arial" w:eastAsia="Arial" w:hAnsi="Arial"/>
                <w:b/>
                <w:bCs/>
                <w:color w:val="1F3864"/>
                <w:sz w:val="20"/>
                <w:szCs w:val="20"/>
              </w:rPr>
              <w:t xml:space="preserve">Diligence Agent Team — Execution Flow</w:t>
            </w:r>
          </w:p>
          <w:p>
            <w:pPr>
              <w:spacing w:after="40" w:before="0"/>
            </w:pPr>
            <w:r>
              <w:rPr>
                <w:rFonts w:ascii="Arial" w:cs="Arial" w:eastAsia="Arial" w:hAnsi="Arial"/>
                <w:b/>
                <w:bCs/>
                <w:color w:val="2E4F8A"/>
                <w:sz w:val="19"/>
                <w:szCs w:val="19"/>
              </w:rPr>
              <w:t xml:space="preserve">PARALLEL (simultaneous):</w:t>
            </w:r>
          </w:p>
          <w:p>
            <w:pPr>
              <w:spacing w:after="20" w:before="0"/>
            </w:pPr>
            <w:r>
              <w:rPr>
                <w:rFonts w:ascii="Arial" w:cs="Arial" w:eastAsia="Arial" w:hAnsi="Arial"/>
                <w:sz w:val="19"/>
                <w:szCs w:val="19"/>
              </w:rPr>
              <w:t xml:space="preserve">  • company-researcher  →  founder backgrounds, funding history, traction signals, commercial validation</w:t>
            </w:r>
          </w:p>
          <w:p>
            <w:pPr>
              <w:spacing w:after="20" w:before="0"/>
            </w:pPr>
            <w:r>
              <w:rPr>
                <w:rFonts w:ascii="Arial" w:cs="Arial" w:eastAsia="Arial" w:hAnsi="Arial"/>
                <w:sz w:val="19"/>
                <w:szCs w:val="19"/>
              </w:rPr>
              <w:t xml:space="preserve">  • market-analyst  →  structural discontinuity test, TAM/SAM/SOM validation, market timing</w:t>
            </w:r>
          </w:p>
          <w:p>
            <w:pPr>
              <w:spacing w:after="20" w:before="0"/>
            </w:pPr>
            <w:r>
              <w:rPr>
                <w:rFonts w:ascii="Arial" w:cs="Arial" w:eastAsia="Arial" w:hAnsi="Arial"/>
                <w:sz w:val="19"/>
                <w:szCs w:val="19"/>
              </w:rPr>
              <w:t xml:space="preserve">  • competitive-intelligence  →  competitor mapping, incumbents, positioning, moat inputs</w:t>
            </w:r>
          </w:p>
          <w:p>
            <w:pPr>
              <w:spacing w:after="80" w:before="0"/>
            </w:pPr>
            <w:r>
              <w:rPr>
                <w:rFonts w:ascii="Arial" w:cs="Arial" w:eastAsia="Arial" w:hAnsi="Arial"/>
                <w:sz w:val="19"/>
                <w:szCs w:val="19"/>
              </w:rPr>
              <w:t xml:space="preserve">  • technical-diligence  →  thin wrapper test, TRL assessment, IP/patents, AI moat signals</w:t>
            </w:r>
          </w:p>
          <w:p>
            <w:pPr>
              <w:spacing w:after="40" w:before="0"/>
            </w:pPr>
            <w:r>
              <w:rPr>
                <w:rFonts w:ascii="Arial" w:cs="Arial" w:eastAsia="Arial" w:hAnsi="Arial"/>
                <w:b/>
                <w:bCs/>
                <w:color w:val="2E4F8A"/>
                <w:sz w:val="19"/>
                <w:szCs w:val="19"/>
              </w:rPr>
              <w:t xml:space="preserve">THEN SEQUENTIAL (subagent chain):</w:t>
            </w:r>
          </w:p>
          <w:p>
            <w:pPr>
              <w:spacing w:after="20" w:before="0"/>
            </w:pPr>
            <w:r>
              <w:rPr>
                <w:rFonts w:ascii="Arial" w:cs="Arial" w:eastAsia="Arial" w:hAnsi="Arial"/>
                <w:sz w:val="19"/>
                <w:szCs w:val="19"/>
              </w:rPr>
              <w:t xml:space="preserve">  • financial-analyst  →  triggers after data file confirmation (requires prior outputs)</w:t>
            </w:r>
          </w:p>
          <w:p>
            <w:pPr>
              <w:spacing w:after="20" w:before="0"/>
            </w:pPr>
            <w:r>
              <w:rPr>
                <w:rFonts w:ascii="Arial" w:cs="Arial" w:eastAsia="Arial" w:hAnsi="Arial"/>
                <w:sz w:val="19"/>
                <w:szCs w:val="19"/>
              </w:rPr>
              <w:t xml:space="preserve">  • synthesis orchestrator  →  combines all agent outputs into DD Kickoff Package</w:t>
            </w:r>
          </w:p>
          <w:p>
            <w:pPr>
              <w:spacing w:after="0" w:before="0"/>
            </w:pPr>
            <w:r>
              <w:rPr>
                <w:rFonts w:ascii="Arial" w:cs="Arial" w:eastAsia="Arial" w:hAnsi="Arial"/>
                <w:sz w:val="19"/>
                <w:szCs w:val="19"/>
              </w:rPr>
              <w:t xml:space="preserve">  • Dealum updater  →  moves deal to Diligence step, updates tags via MCP</w:t>
            </w:r>
          </w:p>
        </w:tc>
      </w:tr>
    </w:tbl>
    <w:p>
      <w:pPr>
        <w:spacing w:after="120" w:before="80"/>
      </w:pPr>
    </w:p>
    <w:p>
      <w:r>
        <w:br w:type="page"/>
      </w:r>
    </w:p>
    <w:p>
      <w:pPr>
        <w:pStyle w:val="Heading1"/>
        <w:spacing w:after="120" w:before="320"/>
      </w:pPr>
      <w:r>
        <w:rPr>
          <w:rFonts w:ascii="Arial" w:cs="Arial" w:eastAsia="Arial" w:hAnsi="Arial"/>
          <w:b/>
          <w:bCs/>
          <w:color w:val="1F3864"/>
          <w:sz w:val="28"/>
          <w:szCs w:val="28"/>
        </w:rPr>
        <w:t xml:space="preserve">4 — What Moves to Code vs. Stays in Cowork</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Not everything should move. The goal is to automate what the machine should own — sustained research, state management, orchestration — while keeping human judgment gates in Cowork where they belong.</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80"/>
        <w:gridCol w:w="35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Capability</w:t>
            </w:r>
          </w:p>
        </w:tc>
        <w:tc>
          <w:tcPr>
            <w:tcW w:type="dxa" w:w="3180"/>
            <w:tcBorders>
              <w:top w:val="single" w:color="CCCCCC" w:sz="1"/>
              <w:left w:val="single" w:color="CCCCCC" w:sz="1"/>
              <w:bottom w:val="single" w:color="CCCCCC" w:sz="1"/>
              <w:right w:val="single" w:color="CCCCCC" w:sz="1"/>
            </w:tcBorders>
            <w:shd w:fill="C00000"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Must Move to API / Code</w:t>
            </w:r>
          </w:p>
        </w:tc>
        <w:tc>
          <w:tcPr>
            <w:tcW w:type="dxa" w:w="3580"/>
            <w:tcBorders>
              <w:top w:val="single" w:color="CCCCCC" w:sz="1"/>
              <w:left w:val="single" w:color="CCCCCC" w:sz="1"/>
              <w:bottom w:val="single" w:color="CCCCCC" w:sz="1"/>
              <w:right w:val="single" w:color="CCCCCC" w:sz="1"/>
            </w:tcBorders>
            <w:shd w:fill="375623"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Stays in Cowork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Orchestration logic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Deciding which agents launch, in what order, with what inputs — this is workflow code, not conversation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Dealum triggers</w:t>
            </w:r>
          </w:p>
        </w:tc>
        <w:tc>
          <w:tcPr>
            <w:tcW w:type="dxa" w:w="31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Automated: new Inbox deal → screening agent fires without Jamie touching Cowork</w:t>
            </w:r>
          </w:p>
        </w:tc>
        <w:tc>
          <w:tcPr>
            <w:tcW w:type="dxa" w:w="35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Manual /sync-pipeline, /screen, /scout — all user-triggered commands stay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Parallel execution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Agent Teams require the managed-agents-2026-04-01 SDK — not available in Cowork's session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Durable session state</w:t>
            </w:r>
          </w:p>
        </w:tc>
        <w:tc>
          <w:tcPr>
            <w:tcW w:type="dxa" w:w="31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Session lifecycle (create, resume, archive) is API-managed</w:t>
            </w:r>
          </w:p>
        </w:tc>
        <w:tc>
          <w:tcPr>
            <w:tcW w:type="dxa" w:w="35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Reading from and writing to the durable session within a Cowork turn is transparent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IC decisions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Pass / Watch / Invest — human judgment gate, always in Cowork</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Document review</w:t>
            </w:r>
          </w:p>
        </w:tc>
        <w:tc>
          <w:tcPr>
            <w:tcW w:type="dxa" w:w="31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c>
          <w:tcPr>
            <w:tcW w:type="dxa" w:w="35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DD Report review, Investment Memo iteration, Scout report calibration — all Cowork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Framework updates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CLAUDE.md edits, gate threshold changes, SME assignments — Cowork and workspace files</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Ad hoc deal Q&amp;A</w:t>
            </w:r>
          </w:p>
        </w:tc>
        <w:tc>
          <w:tcPr>
            <w:tcW w:type="dxa" w:w="31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AAAAAA"/>
                <w:sz w:val="19"/>
                <w:szCs w:val="19"/>
              </w:rPr>
              <w:t xml:space="preserve">—</w:t>
            </w:r>
          </w:p>
        </w:tc>
        <w:tc>
          <w:tcPr>
            <w:tcW w:type="dxa" w:w="35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One-off analysis, deal comparison, framework questions — Cowork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Financial-analyst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Automated trigger after data file confirmation could be code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Manual /diligence trigger and financial file upload review stays in Cowork</w:t>
            </w:r>
          </w:p>
        </w:tc>
      </w:tr>
      <w:tr>
        <w:tc>
          <w:tcPr>
            <w:tcW w:type="dxa" w:w="2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Pipeline monitoring</w:t>
            </w:r>
          </w:p>
        </w:tc>
        <w:tc>
          <w:tcPr>
            <w:tcW w:type="dxa" w:w="31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Scheduled managed agent + Dealum push to shared log</w:t>
            </w:r>
          </w:p>
        </w:tc>
        <w:tc>
          <w:tcPr>
            <w:tcW w:type="dxa" w:w="35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color w:val="000000"/>
                <w:sz w:val="19"/>
                <w:szCs w:val="19"/>
              </w:rPr>
              <w:t xml:space="preserve">/sync-pipeline on-demand stays as a Cowork command fallback</w:t>
            </w:r>
          </w:p>
        </w:tc>
      </w:tr>
    </w:tbl>
    <w:p>
      <w:pPr>
        <w:spacing w:after="120" w:before="80"/>
      </w:pPr>
    </w:p>
    <w:p>
      <w:pPr>
        <w:pStyle w:val="Heading1"/>
        <w:spacing w:after="120" w:before="320"/>
      </w:pPr>
      <w:r>
        <w:rPr>
          <w:rFonts w:ascii="Arial" w:cs="Arial" w:eastAsia="Arial" w:hAnsi="Arial"/>
          <w:b/>
          <w:bCs/>
          <w:color w:val="1F3864"/>
          <w:sz w:val="28"/>
          <w:szCs w:val="28"/>
        </w:rPr>
        <w:t xml:space="preserve">5 — Durable Session Log — State Problems Solved</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The durable session log is the most structurally significant feature of Managed Agents for this pipeline. The table below maps current context loss problems to what the durable session resolves. Left column = the pain. Right column = the fix.</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80"/>
        <w:gridCol w:w="37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Pipeline Stage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Context Problem Today</w:t>
            </w:r>
          </w:p>
        </w:tc>
        <w:tc>
          <w:tcPr>
            <w:tcW w:type="dxa" w:w="37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What Durable Session Log Solves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Diligence (multi-week)</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0" w:before="0"/>
            </w:pPr>
            <w:r>
              <w:rPr>
                <w:rFonts w:ascii="Arial" w:cs="Arial" w:eastAsia="Arial" w:hAnsi="Arial"/>
                <w:sz w:val="19"/>
                <w:szCs w:val="19"/>
              </w:rPr>
              <w:t xml:space="preserve">Each Cowork session re-bootstraps from files. Agent findings not retained. Thesis drift between sessions.</w:t>
            </w:r>
          </w:p>
        </w:tc>
        <w:tc>
          <w:tcPr>
            <w:tcW w:type="dxa" w:w="37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0" w:before="0"/>
            </w:pPr>
            <w:r>
              <w:rPr>
                <w:rFonts w:ascii="Arial" w:cs="Arial" w:eastAsia="Arial" w:hAnsi="Arial"/>
                <w:sz w:val="19"/>
                <w:szCs w:val="19"/>
              </w:rPr>
              <w:t xml:space="preserve">Durable session holds: accumulating 17-folder findings, current thesis state, tracker status, all prior agent outputs. Every new session resumes without re-ingest.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Post-meeting (3 meetings)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0" w:before="0"/>
            </w:pPr>
            <w:r>
              <w:rPr>
                <w:rFonts w:ascii="Arial" w:cs="Arial" w:eastAsia="Arial" w:hAnsi="Arial"/>
                <w:sz w:val="19"/>
                <w:szCs w:val="19"/>
              </w:rPr>
              <w:t xml:space="preserve">Prior meeting POV must be manually pasted back in. Progressive thesis thread is artificially broken between meetings.</w:t>
            </w:r>
          </w:p>
        </w:tc>
        <w:tc>
          <w:tcPr>
            <w:tcW w:type="dxa" w:w="37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0" w:before="0"/>
            </w:pPr>
            <w:r>
              <w:rPr>
                <w:rFonts w:ascii="Arial" w:cs="Arial" w:eastAsia="Arial" w:hAnsi="Arial"/>
                <w:sz w:val="19"/>
                <w:szCs w:val="19"/>
              </w:rPr>
              <w:t xml:space="preserve">Session preserves full analyst POV history. Meeting 2 and 3 each pick up the exact state left at the end of the prior meeting. Progressive POV is automatic.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Scout → Diligence handoff</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0" w:before="0"/>
            </w:pPr>
            <w:r>
              <w:rPr>
                <w:rFonts w:ascii="Arial" w:cs="Arial" w:eastAsia="Arial" w:hAnsi="Arial"/>
                <w:sz w:val="19"/>
                <w:szCs w:val="19"/>
              </w:rPr>
              <w:t xml:space="preserve">Scout findings exist as a .docx file — re-uploaded or re-summarised at Diligence kickoff.</w:t>
            </w:r>
          </w:p>
        </w:tc>
        <w:tc>
          <w:tcPr>
            <w:tcW w:type="dxa" w:w="37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0" w:before="0"/>
            </w:pPr>
            <w:r>
              <w:rPr>
                <w:rFonts w:ascii="Arial" w:cs="Arial" w:eastAsia="Arial" w:hAnsi="Arial"/>
                <w:sz w:val="19"/>
                <w:szCs w:val="19"/>
              </w:rPr>
              <w:t xml:space="preserve">Scout output written to durable state at Scout completion. Diligence kickoff reads it directly — no file re-upload.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pPr>
              <w:spacing w:after="0" w:before="0"/>
            </w:pPr>
            <w:r>
              <w:rPr>
                <w:rFonts w:ascii="Arial" w:cs="Arial" w:eastAsia="Arial" w:hAnsi="Arial"/>
                <w:b/>
                <w:bCs/>
                <w:sz w:val="20"/>
                <w:szCs w:val="20"/>
              </w:rPr>
              <w:t xml:space="preserve">DD Report synthesis</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0" w:before="0"/>
            </w:pPr>
            <w:r>
              <w:rPr>
                <w:rFonts w:ascii="Arial" w:cs="Arial" w:eastAsia="Arial" w:hAnsi="Arial"/>
                <w:sz w:val="19"/>
                <w:szCs w:val="19"/>
              </w:rPr>
              <w:t xml:space="preserve">17-folder findings must be present in context. Large file re-ingestion required.</w:t>
            </w:r>
          </w:p>
        </w:tc>
        <w:tc>
          <w:tcPr>
            <w:tcW w:type="dxa" w:w="37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0" w:before="0"/>
            </w:pPr>
            <w:r>
              <w:rPr>
                <w:rFonts w:ascii="Arial" w:cs="Arial" w:eastAsia="Arial" w:hAnsi="Arial"/>
                <w:sz w:val="19"/>
                <w:szCs w:val="19"/>
              </w:rPr>
              <w:t xml:space="preserve">Durable session holds completed folder findings. DD Report subagent reads from state, not from re-uploaded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before="0"/>
            </w:pPr>
            <w:r>
              <w:rPr>
                <w:rFonts w:ascii="Arial" w:cs="Arial" w:eastAsia="Arial" w:hAnsi="Arial"/>
                <w:b/>
                <w:bCs/>
                <w:sz w:val="20"/>
                <w:szCs w:val="20"/>
              </w:rPr>
              <w:t xml:space="preserve">Thesis stress tracking</w:t>
            </w:r>
          </w:p>
        </w:tc>
        <w:tc>
          <w:tcPr>
            <w:tcW w:type="dxa" w:w="318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tcPr>
          <w:p>
            <w:pPr>
              <w:spacing w:after="0" w:before="0"/>
            </w:pPr>
            <w:r>
              <w:rPr>
                <w:rFonts w:ascii="Arial" w:cs="Arial" w:eastAsia="Arial" w:hAnsi="Arial"/>
                <w:sz w:val="19"/>
                <w:szCs w:val="19"/>
              </w:rPr>
              <w:t xml:space="preserve">🟢🟡🔴 hypothesis markers updated per session, then lost unless explicitly written to a file.</w:t>
            </w:r>
          </w:p>
        </w:tc>
        <w:tc>
          <w:tcPr>
            <w:tcW w:type="dxa" w:w="37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spacing w:after="0" w:before="0"/>
            </w:pPr>
            <w:r>
              <w:rPr>
                <w:rFonts w:ascii="Arial" w:cs="Arial" w:eastAsia="Arial" w:hAnsi="Arial"/>
                <w:sz w:val="19"/>
                <w:szCs w:val="19"/>
              </w:rPr>
              <w:t xml:space="preserve">Hypothesis confirmation map stored in durable state. Updated by each agent run and each meeting pass. Always current.</w:t>
            </w:r>
          </w:p>
        </w:tc>
      </w:tr>
    </w:tbl>
    <w:p>
      <w:pPr>
        <w:spacing w:after="80" w:before="80"/>
      </w:pPr>
    </w:p>
    <w:p>
      <w:pPr>
        <w:spacing w:after="60" w:before="60"/>
      </w:pPr>
      <w:r>
        <w:rPr>
          <w:rFonts w:ascii="Arial" w:cs="Arial" w:eastAsia="Arial" w:hAnsi="Arial"/>
          <w:b w:val="false"/>
          <w:bCs w:val="false"/>
          <w:color w:val="555555"/>
          <w:sz w:val="22"/>
          <w:szCs w:val="22"/>
        </w:rPr>
        <w:t xml:space="preserve">Important design note: durable state is only valuable if the orchestrator is opinionated about what it retains. A session log that accumulates raw transcripts without a synthesis layer recreates the problem at higher scale. The orchestrator must curate — writing structured summaries and tracker state, not raw output dumps, into the durable session.</w:t>
      </w:r>
    </w:p>
    <w:p>
      <w:pPr>
        <w:spacing w:after="120" w:before="80"/>
      </w:pPr>
    </w:p>
    <w:p>
      <w:r>
        <w:br w:type="page"/>
      </w:r>
    </w:p>
    <w:p>
      <w:pPr>
        <w:pStyle w:val="Heading1"/>
        <w:spacing w:after="120" w:before="320"/>
      </w:pPr>
      <w:r>
        <w:rPr>
          <w:rFonts w:ascii="Arial" w:cs="Arial" w:eastAsia="Arial" w:hAnsi="Arial"/>
          <w:b/>
          <w:bCs/>
          <w:color w:val="1F3864"/>
          <w:sz w:val="28"/>
          <w:szCs w:val="28"/>
        </w:rPr>
        <w:t xml:space="preserve">6 — Implementation Sequence</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The sequence below is ordered by dependency and ROI. Each phase unlocks the next. Phase 1 (Dealum API) is the prerequisite for all subsequent phases — without live pipeline state the orchestrator has nothing to act on.</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2160"/>
        <w:gridCol w:w="2400"/>
        <w:gridCol w:w="2400"/>
      </w:tblGrid>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Phase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What Gets Built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Why This Order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Cowork Impact</w:t>
            </w:r>
          </w:p>
        </w:tc>
      </w:tr>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0" w:before="0"/>
            </w:pPr>
            <w:r>
              <w:rPr>
                <w:rFonts w:ascii="Arial" w:cs="Arial" w:eastAsia="Arial" w:hAnsi="Arial"/>
                <w:b/>
                <w:bCs/>
                <w:color w:val="FFFFFF"/>
                <w:sz w:val="22"/>
                <w:szCs w:val="22"/>
              </w:rPr>
              <w:t xml:space="preserve">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19"/>
                <w:szCs w:val="19"/>
              </w:rPr>
              <w:t xml:space="preserve">Dealum API Integration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Live DEALUM_TOKEN + DEALUM_ROOM_ID configured; all 5 MCP tools operational; pipeline-monitor returning real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Prerequisite for everything. The orchestrator has nothing to act on without live pipeline state. This is the unlock.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Immediate: /sync-pipeline returns real data. All stage transitions update Dealum automatically.</w:t>
            </w:r>
          </w:p>
        </w:tc>
      </w:tr>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0" w:before="0"/>
            </w:pPr>
            <w:r>
              <w:rPr>
                <w:rFonts w:ascii="Arial" w:cs="Arial" w:eastAsia="Arial" w:hAnsi="Arial"/>
                <w:b/>
                <w:bCs/>
                <w:color w:val="FFFFFF"/>
                <w:sz w:val="22"/>
                <w:szCs w:val="22"/>
              </w:rPr>
              <w:t xml:space="preserve">2</w:t>
            </w:r>
          </w:p>
        </w:tc>
        <w:tc>
          <w:tcPr>
            <w:tcW w:type="dxa" w:w="1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bCs/>
                <w:color w:val="1F3864"/>
                <w:sz w:val="19"/>
                <w:szCs w:val="19"/>
              </w:rPr>
              <w:t xml:space="preserve">Diligence Research Cluster</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Managed session per active deal. Agent Team: company-researcher + market-analyst + competitive-intelligence + technical-diligence in parallel. Orchestrator synthesises into DD Kickoff Package.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Highest ROI. Longest-running, most context-sensitive stage. Parallel execution cuts research time. Durable state eliminates session re-ingest.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Diligence kickoff becomes faster and richer. Jamie still reviews and approves the Kickoff Package in Cowork.</w:t>
            </w:r>
          </w:p>
        </w:tc>
      </w:tr>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0" w:before="0"/>
            </w:pPr>
            <w:r>
              <w:rPr>
                <w:rFonts w:ascii="Arial" w:cs="Arial" w:eastAsia="Arial" w:hAnsi="Arial"/>
                <w:b/>
                <w:bCs/>
                <w:color w:val="FFFFFF"/>
                <w:sz w:val="22"/>
                <w:szCs w:val="22"/>
              </w:rPr>
              <w:t xml:space="preserve">3</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19"/>
                <w:szCs w:val="19"/>
              </w:rPr>
              <w:t xml:space="preserve">Post-Meeting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Durable session per deal holds the 3-meeting thesis thread. Each /post-meeting run resumes the same session. Progressive POV is automatic.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Second-highest pain point. Directly serves the analyst POV mandate in CLAUDE.md. No new agent infrastructure needed — just session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/post-meeting commands produce deeper, cumulatively richer outputs without Jamie re-pasting prior context.</w:t>
            </w:r>
          </w:p>
        </w:tc>
      </w:tr>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0" w:before="0"/>
            </w:pPr>
            <w:r>
              <w:rPr>
                <w:rFonts w:ascii="Arial" w:cs="Arial" w:eastAsia="Arial" w:hAnsi="Arial"/>
                <w:b/>
                <w:bCs/>
                <w:color w:val="FFFFFF"/>
                <w:sz w:val="22"/>
                <w:szCs w:val="22"/>
              </w:rPr>
              <w:t xml:space="preserve">4</w:t>
            </w:r>
          </w:p>
        </w:tc>
        <w:tc>
          <w:tcPr>
            <w:tcW w:type="dxa" w:w="1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bCs/>
                <w:color w:val="1F3864"/>
                <w:sz w:val="19"/>
                <w:szCs w:val="19"/>
              </w:rPr>
              <w:t xml:space="preserve">Scheduled Pipeline Monitor</w:t>
            </w:r>
          </w:p>
        </w:tc>
        <w:tc>
          <w:tcPr>
            <w:tcW w:type="dxa" w:w="21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Lightweight managed agent on a schedule. Pulls Dealum snapshot. Pushes dashboard to a shared log or notification surface.</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Low complexity, high convenience. Removes the manual /sync-pipeline trigger as the daily starting ritual.</w:t>
            </w:r>
          </w:p>
        </w:tc>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/sync-pipeline becomes a fallback on-demand command. Morning briefing is automatic.</w:t>
            </w:r>
          </w:p>
        </w:tc>
      </w:tr>
      <w:tr>
        <w:tc>
          <w:tcPr>
            <w:tcW w:type="dxa" w:w="72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top"/>
          </w:tcPr>
          <w:p>
            <w:pPr>
              <w:spacing w:after="0" w:before="0"/>
            </w:pPr>
            <w:r>
              <w:rPr>
                <w:rFonts w:ascii="Arial" w:cs="Arial" w:eastAsia="Arial" w:hAnsi="Arial"/>
                <w:b/>
                <w:bCs/>
                <w:color w:val="FFFFFF"/>
                <w:sz w:val="22"/>
                <w:szCs w:val="22"/>
              </w:rPr>
              <w:t xml:space="preserve">5</w:t>
            </w:r>
          </w:p>
        </w:tc>
        <w:tc>
          <w:tcPr>
            <w:tcW w:type="dxa" w:w="1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bCs/>
                <w:color w:val="1F3864"/>
                <w:sz w:val="19"/>
                <w:szCs w:val="19"/>
              </w:rPr>
              <w:t xml:space="preserve">Scout Agent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Agent Team for Scout research phase: 4 agents parallel → Scout synthesis subagent. Faster Scout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Scout is faster than Diligence and less stateful. Phase 3-4 experience informs the right orchestrator design for Scout.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0" w:before="0"/>
            </w:pPr>
            <w:r>
              <w:rPr>
                <w:rFonts w:ascii="Arial" w:cs="Arial" w:eastAsia="Arial" w:hAnsi="Arial"/>
                <w:b w:val="false"/>
                <w:bCs w:val="false"/>
                <w:color w:val="000000"/>
                <w:sz w:val="19"/>
                <w:szCs w:val="19"/>
              </w:rPr>
              <w:t xml:space="preserve">Scout reports arrive faster. Quality unchanged — same frameworks, same output structure.</w:t>
            </w:r>
          </w:p>
        </w:tc>
      </w:tr>
    </w:tbl>
    <w:p>
      <w:pPr>
        <w:spacing w:after="120" w:before="80"/>
      </w:pPr>
    </w:p>
    <w:p>
      <w:pPr>
        <w:pStyle w:val="Heading1"/>
        <w:spacing w:after="120" w:before="320"/>
      </w:pPr>
      <w:r>
        <w:rPr>
          <w:rFonts w:ascii="Arial" w:cs="Arial" w:eastAsia="Arial" w:hAnsi="Arial"/>
          <w:b/>
          <w:bCs/>
          <w:color w:val="1F3864"/>
          <w:sz w:val="28"/>
          <w:szCs w:val="28"/>
        </w:rPr>
        <w:t xml:space="preserve">7 — Cost &amp; Technical Notes</w:t>
      </w:r>
    </w:p>
    <w:p>
      <w:pPr>
        <w:pBdr>
          <w:bottom w:val="single" w:color="2E4F8A" w:sz="6" w:space="1"/>
        </w:pBdr>
        <w:spacing w:after="60" w:before="60"/>
      </w:pP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60"/>
              <w:left w:type="dxa" w:w="240"/>
              <w:bottom w:type="dxa" w:w="160"/>
              <w:right w:type="dxa" w:w="240"/>
            </w:tcMar>
          </w:tcPr>
          <w:p>
            <w:pPr>
              <w:spacing w:after="80" w:before="0"/>
            </w:pPr>
            <w:r>
              <w:rPr>
                <w:rFonts w:ascii="Arial" w:cs="Arial" w:eastAsia="Arial" w:hAnsi="Arial"/>
                <w:b/>
                <w:bCs/>
                <w:color w:val="1F3864"/>
                <w:sz w:val="22"/>
                <w:szCs w:val="22"/>
              </w:rPr>
              <w:t xml:space="preserve">Cost Model — Managed Agents (Public Beta)</w:t>
            </w:r>
          </w:p>
          <w:p>
            <w:pPr>
              <w:spacing w:after="60" w:before="0"/>
            </w:pPr>
            <w:r>
              <w:rPr>
                <w:rFonts w:ascii="Arial" w:cs="Arial" w:eastAsia="Arial" w:hAnsi="Arial"/>
                <w:sz w:val="20"/>
                <w:szCs w:val="20"/>
              </w:rPr>
              <w:t xml:space="preserve">Session infrastructure: $0.08 / session hour + standard Claude API token costs (input + output). Runs on Anthropic infrastructure — no separate compute to provision.</w:t>
            </w:r>
          </w:p>
          <w:p>
            <w:pPr>
              <w:spacing w:after="60" w:before="0"/>
            </w:pPr>
            <w:r>
              <w:rPr>
                <w:rFonts w:ascii="Arial" w:cs="Arial" w:eastAsia="Arial" w:hAnsi="Arial"/>
                <w:sz w:val="20"/>
                <w:szCs w:val="20"/>
              </w:rPr>
              <w:t xml:space="preserve">A long Diligence session (4–6 hours of parallel research): ~$0.32–$0.48 in session overhead before tokens. The real spend is tokens — context size in the durable session is the primary cost lever. Prompt discipline in what the orchestrator retains vs. discards matters.</w:t>
            </w:r>
          </w:p>
          <w:p>
            <w:pPr>
              <w:spacing w:after="60" w:before="0"/>
            </w:pPr>
            <w:r>
              <w:rPr>
                <w:rFonts w:ascii="Arial" w:cs="Arial" w:eastAsia="Arial" w:hAnsi="Arial"/>
                <w:b/>
                <w:bCs/>
                <w:sz w:val="20"/>
                <w:szCs w:val="20"/>
              </w:rPr>
              <w:t xml:space="preserve">SDK requirement: </w:t>
            </w:r>
            <w:r>
              <w:rPr>
                <w:rFonts w:ascii="Courier New" w:cs="Courier New" w:eastAsia="Courier New" w:hAnsi="Courier New"/>
                <w:b/>
                <w:bCs/>
                <w:color w:val="C00000"/>
                <w:sz w:val="20"/>
                <w:szCs w:val="20"/>
              </w:rPr>
              <w:t xml:space="preserve">managed-agents-2026-04-01</w:t>
            </w:r>
            <w:r>
              <w:rPr>
                <w:rFonts w:ascii="Arial" w:cs="Arial" w:eastAsia="Arial" w:hAnsi="Arial"/>
                <w:sz w:val="20"/>
                <w:szCs w:val="20"/>
              </w:rPr>
              <w:t xml:space="preserve"> header required in all API calls. Public beta as of April 8, 2026.</w:t>
            </w:r>
          </w:p>
          <w:p>
            <w:pPr>
              <w:spacing w:after="0" w:before="0"/>
            </w:pPr>
            <w:r>
              <w:rPr>
                <w:rFonts w:ascii="Arial" w:cs="Arial" w:eastAsia="Arial" w:hAnsi="Arial"/>
                <w:sz w:val="20"/>
                <w:szCs w:val="20"/>
              </w:rPr>
              <w:t xml:space="preserve">MCP tool integration: supported natively. Dealum MCP server works within managed sessions without modification.</w:t>
            </w:r>
          </w:p>
        </w:tc>
      </w:tr>
    </w:tbl>
    <w:p>
      <w:pPr>
        <w:spacing w:after="120" w:before="120"/>
      </w:pPr>
    </w:p>
    <w:p>
      <w:r>
        <w:br w:type="page"/>
      </w:r>
    </w:p>
    <w:p>
      <w:pPr>
        <w:pStyle w:val="Heading1"/>
        <w:spacing w:after="120" w:before="320"/>
      </w:pPr>
      <w:r>
        <w:rPr>
          <w:rFonts w:ascii="Arial" w:cs="Arial" w:eastAsia="Arial" w:hAnsi="Arial"/>
          <w:b/>
          <w:bCs/>
          <w:color w:val="1F3864"/>
          <w:sz w:val="28"/>
          <w:szCs w:val="28"/>
        </w:rPr>
        <w:t xml:space="preserve">8 — Architecture Diagrams</w:t>
      </w:r>
    </w:p>
    <w:p>
      <w:pPr>
        <w:pBdr>
          <w:bottom w:val="single" w:color="2E4F8A" w:sz="6" w:space="1"/>
        </w:pBdr>
        <w:spacing w:after="60" w:before="60"/>
      </w:pPr>
    </w:p>
    <w:p>
      <w:pPr>
        <w:spacing w:after="60" w:before="60"/>
      </w:pPr>
      <w:r>
        <w:rPr>
          <w:rFonts w:ascii="Arial" w:cs="Arial" w:eastAsia="Arial" w:hAnsi="Arial"/>
          <w:b w:val="false"/>
          <w:bCs w:val="false"/>
          <w:color w:val="000000"/>
          <w:sz w:val="22"/>
          <w:szCs w:val="22"/>
        </w:rPr>
        <w:t xml:space="preserve">Current state vs. future state — what the Managed Agents layer adds to the existing pipeline.</w:t>
      </w:r>
    </w:p>
    <w:p>
      <w:pPr>
        <w:spacing w:after="10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8F8" w:val="clear"/>
            <w:tcMar>
              <w:top w:type="dxa" w:w="160"/>
              <w:left w:type="dxa" w:w="240"/>
              <w:bottom w:type="dxa" w:w="160"/>
              <w:right w:type="dxa" w:w="240"/>
            </w:tcMar>
          </w:tcPr>
          <w:p>
            <w:pPr>
              <w:spacing w:after="0" w:before="0"/>
            </w:pPr>
            <w:r>
              <w:rPr>
                <w:rFonts w:ascii="Courier New" w:cs="Courier New" w:eastAsia="Courier New" w:hAnsi="Courier New"/>
                <w:color w:val="222222"/>
                <w:sz w:val="18"/>
                <w:szCs w:val="18"/>
              </w:rPr>
              <w:t xml:space="preserve">CURRENT STATE (Cowork only)</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Jamie (Cowork chat)</w:t>
            </w:r>
          </w:p>
          <w:p>
            <w:pPr>
              <w:spacing w:after="0" w:before="0"/>
            </w:pPr>
            <w:r>
              <w:rPr>
                <w:rFonts w:ascii="Courier New" w:cs="Courier New" w:eastAsia="Courier New" w:hAnsi="Courier New"/>
                <w:color w:val="222222"/>
                <w:sz w:val="18"/>
                <w:szCs w:val="18"/>
              </w:rPr>
              <w:t xml:space="preserve">       │  slash commands</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Claude (Orchestrator) ── reads CLAUDE.md + framework skill</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Sequential agent calls (one at a time)         │</w:t>
            </w:r>
          </w:p>
          <w:p>
            <w:pPr>
              <w:spacing w:after="0" w:before="0"/>
            </w:pPr>
            <w:r>
              <w:rPr>
                <w:rFonts w:ascii="Courier New" w:cs="Courier New" w:eastAsia="Courier New" w:hAnsi="Courier New"/>
                <w:color w:val="222222"/>
                <w:sz w:val="18"/>
                <w:szCs w:val="18"/>
              </w:rPr>
              <w:t xml:space="preserve">  │  company-researcher → market-analyst →          │</w:t>
            </w:r>
          </w:p>
          <w:p>
            <w:pPr>
              <w:spacing w:after="0" w:before="0"/>
            </w:pPr>
            <w:r>
              <w:rPr>
                <w:rFonts w:ascii="Courier New" w:cs="Courier New" w:eastAsia="Courier New" w:hAnsi="Courier New"/>
                <w:color w:val="222222"/>
                <w:sz w:val="18"/>
                <w:szCs w:val="18"/>
              </w:rPr>
              <w:t xml:space="preserve">  │  competitive-intelligence → technical-diligence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context lost between sessions</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Deal files (.docx) ← only persistent state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FUTURE STATE (Managed Agents layer added)</w:t>
            </w:r>
          </w:p>
          <w:p>
            <w:pPr>
              <w:spacing w:after="0" w:before="0"/>
            </w:pPr>
            <w:r>
              <w:rPr>
                <w:rFonts w:ascii="Courier New" w:cs="Courier New" w:eastAsia="Courier New" w:hAnsi="Courier New"/>
                <w:color w:val="222222"/>
                <w:sz w:val="18"/>
                <w:szCs w:val="18"/>
              </w:rPr>
              <w:t xml:space="preserv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Jamie (Cowork chat)</w:t>
            </w:r>
          </w:p>
          <w:p>
            <w:pPr>
              <w:spacing w:after="0" w:before="0"/>
            </w:pPr>
            <w:r>
              <w:rPr>
                <w:rFonts w:ascii="Courier New" w:cs="Courier New" w:eastAsia="Courier New" w:hAnsi="Courier New"/>
                <w:color w:val="222222"/>
                <w:sz w:val="18"/>
                <w:szCs w:val="18"/>
              </w:rPr>
              <w:t xml:space="preserve">       │  /diligence, /post-meeting, decisions</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Claude (Cowork) ── human-in-the-loop gate</w:t>
            </w:r>
          </w:p>
          <w:p>
            <w:pPr>
              <w:spacing w:after="0" w:before="0"/>
            </w:pPr>
            <w:r>
              <w:rPr>
                <w:rFonts w:ascii="Courier New" w:cs="Courier New" w:eastAsia="Courier New" w:hAnsi="Courier New"/>
                <w:color w:val="222222"/>
                <w:sz w:val="18"/>
                <w:szCs w:val="18"/>
              </w:rPr>
              <w:t xml:space="preserve">       │  triggers orchestrator via API</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MANAGED SESSION (per deal, durable state)  │</w:t>
            </w:r>
          </w:p>
          <w:p>
            <w:pPr>
              <w:spacing w:after="0" w:before="0"/>
            </w:pPr>
            <w:r>
              <w:rPr>
                <w:rFonts w:ascii="Courier New" w:cs="Courier New" w:eastAsia="Courier New" w:hAnsi="Courier New"/>
                <w:color w:val="222222"/>
                <w:sz w:val="18"/>
                <w:szCs w:val="18"/>
              </w:rPr>
              <w:t xml:space="preserve">  │  • Thesis evolution log                     │</w:t>
            </w:r>
          </w:p>
          <w:p>
            <w:pPr>
              <w:spacing w:after="0" w:before="0"/>
            </w:pPr>
            <w:r>
              <w:rPr>
                <w:rFonts w:ascii="Courier New" w:cs="Courier New" w:eastAsia="Courier New" w:hAnsi="Courier New"/>
                <w:color w:val="222222"/>
                <w:sz w:val="18"/>
                <w:szCs w:val="18"/>
              </w:rPr>
              <w:t xml:space="preserve">  │  • Tracker status                           │</w:t>
            </w:r>
          </w:p>
          <w:p>
            <w:pPr>
              <w:spacing w:after="0" w:before="0"/>
            </w:pPr>
            <w:r>
              <w:rPr>
                <w:rFonts w:ascii="Courier New" w:cs="Courier New" w:eastAsia="Courier New" w:hAnsi="Courier New"/>
                <w:color w:val="222222"/>
                <w:sz w:val="18"/>
                <w:szCs w:val="18"/>
              </w:rPr>
              <w:t xml:space="preserve">  │  • Agent findings (accumulated)             │</w:t>
            </w:r>
          </w:p>
          <w:p>
            <w:pPr>
              <w:spacing w:after="0" w:before="0"/>
            </w:pPr>
            <w:r>
              <w:rPr>
                <w:rFonts w:ascii="Courier New" w:cs="Courier New" w:eastAsia="Courier New" w:hAnsi="Courier New"/>
                <w:color w:val="222222"/>
                <w:sz w:val="18"/>
                <w:szCs w:val="18"/>
              </w:rPr>
              <w:t xml:space="preserve">  │  • Hypothesis confirmation map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AGENT TEAM (parallel)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company-researcher     │</w:t>
            </w:r>
          </w:p>
          <w:p>
            <w:pPr>
              <w:spacing w:after="0" w:before="0"/>
            </w:pPr>
            <w:r>
              <w:rPr>
                <w:rFonts w:ascii="Courier New" w:cs="Courier New" w:eastAsia="Courier New" w:hAnsi="Courier New"/>
                <w:color w:val="222222"/>
                <w:sz w:val="18"/>
                <w:szCs w:val="18"/>
              </w:rPr>
              <w:t xml:space="preserve">        │  market-analyst         │  ← simultaneous</w:t>
            </w:r>
          </w:p>
          <w:p>
            <w:pPr>
              <w:spacing w:after="0" w:before="0"/>
            </w:pPr>
            <w:r>
              <w:rPr>
                <w:rFonts w:ascii="Courier New" w:cs="Courier New" w:eastAsia="Courier New" w:hAnsi="Courier New"/>
                <w:color w:val="222222"/>
                <w:sz w:val="18"/>
                <w:szCs w:val="18"/>
              </w:rPr>
              <w:t xml:space="preserve">        │  competitive-intel      │</w:t>
            </w:r>
          </w:p>
          <w:p>
            <w:pPr>
              <w:spacing w:after="0" w:before="0"/>
            </w:pPr>
            <w:r>
              <w:rPr>
                <w:rFonts w:ascii="Courier New" w:cs="Courier New" w:eastAsia="Courier New" w:hAnsi="Courier New"/>
                <w:color w:val="222222"/>
                <w:sz w:val="18"/>
                <w:szCs w:val="18"/>
              </w:rPr>
              <w:t xml:space="preserve">        │  technical-diligence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outputs merge</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  SUBAGENT (sequential) │</w:t>
            </w:r>
          </w:p>
          <w:p>
            <w:pPr>
              <w:spacing w:after="0" w:before="0"/>
            </w:pPr>
            <w:r>
              <w:rPr>
                <w:rFonts w:ascii="Courier New" w:cs="Courier New" w:eastAsia="Courier New" w:hAnsi="Courier New"/>
                <w:color w:val="222222"/>
                <w:sz w:val="18"/>
                <w:szCs w:val="18"/>
              </w:rPr>
              <w:t xml:space="preserve">        │  synthesis orchestrator│</w:t>
            </w:r>
          </w:p>
          <w:p>
            <w:pPr>
              <w:spacing w:after="0" w:before="0"/>
            </w:pPr>
            <w:r>
              <w:rPr>
                <w:rFonts w:ascii="Courier New" w:cs="Courier New" w:eastAsia="Courier New" w:hAnsi="Courier New"/>
                <w:color w:val="222222"/>
                <w:sz w:val="18"/>
                <w:szCs w:val="18"/>
              </w:rPr>
              <w:t xml:space="preserve">        │  → DD Kickoff Package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w:t>
            </w:r>
          </w:p>
          <w:p>
            <w:pPr>
              <w:spacing w:after="0" w:before="0"/>
            </w:pPr>
            <w:r>
              <w:rPr>
                <w:rFonts w:ascii="Courier New" w:cs="Courier New" w:eastAsia="Courier New" w:hAnsi="Courier New"/>
                <w:color w:val="222222"/>
                <w:sz w:val="18"/>
                <w:szCs w:val="18"/>
              </w:rPr>
              <w:t xml:space="preserve">        Dealum updated via MCP (automatic)</w:t>
            </w:r>
          </w:p>
          <w:p>
            <w:pPr>
              <w:spacing w:after="0" w:before="0"/>
            </w:pPr>
            <w:r>
              <w:rPr>
                <w:rFonts w:ascii="Courier New" w:cs="Courier New" w:eastAsia="Courier New" w:hAnsi="Courier New"/>
                <w:color w:val="222222"/>
                <w:sz w:val="18"/>
                <w:szCs w:val="18"/>
              </w:rPr>
              <w:t xml:space="preserve">        Jamie reviews output in Cowork</w:t>
            </w:r>
          </w:p>
        </w:tc>
      </w:tr>
    </w:tbl>
    <w:p>
      <w:pPr>
        <w:spacing w:after="120" w:before="80"/>
      </w:pPr>
    </w:p>
    <w:p>
      <w:r>
        <w:br w:type="page"/>
      </w:r>
    </w:p>
    <w:p>
      <w:pPr>
        <w:pStyle w:val="Heading1"/>
        <w:spacing w:after="120" w:before="320"/>
      </w:pPr>
      <w:r>
        <w:rPr>
          <w:rFonts w:ascii="Arial" w:cs="Arial" w:eastAsia="Arial" w:hAnsi="Arial"/>
          <w:b/>
          <w:bCs/>
          <w:color w:val="1F3864"/>
          <w:sz w:val="28"/>
          <w:szCs w:val="28"/>
        </w:rPr>
        <w:t xml:space="preserve">Appendix — Original Strategic Analysis</w:t>
      </w:r>
    </w:p>
    <w:p>
      <w:pPr>
        <w:spacing w:after="60" w:before="60"/>
      </w:pPr>
      <w:r>
        <w:rPr>
          <w:rFonts w:ascii="Arial" w:cs="Arial" w:eastAsia="Arial" w:hAnsi="Arial"/>
          <w:b w:val="false"/>
          <w:bCs w:val="false"/>
          <w:color w:val="555555"/>
          <w:sz w:val="22"/>
          <w:szCs w:val="22"/>
        </w:rPr>
        <w:t xml:space="preserve">The following is the condensed framing that generated this architecture document. Captured April 16, 2026 in the NWAi TechGroup Cowork workspace.</w:t>
      </w:r>
    </w:p>
    <w:p>
      <w:pPr>
        <w:spacing w:after="40" w:before="80"/>
      </w:pPr>
    </w:p>
    <w:p>
      <w:pPr>
        <w:pStyle w:val="Heading2"/>
        <w:spacing w:after="100" w:before="240"/>
      </w:pPr>
      <w:r>
        <w:rPr>
          <w:rFonts w:ascii="Arial" w:cs="Arial" w:eastAsia="Arial" w:hAnsi="Arial"/>
          <w:b/>
          <w:bCs/>
          <w:color w:val="2E4F8A"/>
          <w:sz w:val="24"/>
          <w:szCs w:val="24"/>
        </w:rPr>
        <w:t xml:space="preserve">Context</w:t>
      </w:r>
    </w:p>
    <w:p>
      <w:pPr>
        <w:spacing w:after="60" w:before="60"/>
      </w:pPr>
      <w:r>
        <w:rPr>
          <w:rFonts w:ascii="Arial" w:cs="Arial" w:eastAsia="Arial" w:hAnsi="Arial"/>
          <w:b w:val="false"/>
          <w:bCs w:val="false"/>
          <w:color w:val="000000"/>
          <w:sz w:val="22"/>
          <w:szCs w:val="22"/>
        </w:rPr>
        <w:t xml:space="preserve">Claude Managed Agents launched April 8, 2026 in public beta. This analysis was prepared by Jamie (TechGroup Co-Chair) to evaluate fit against the existing NWAi deal pipeline, which runs in Claude Cowork and is managed via the nwai-tech-pipeline plugin.</w:t>
      </w:r>
    </w:p>
    <w:p>
      <w:pPr>
        <w:spacing w:after="80" w:before="80"/>
      </w:pPr>
    </w:p>
    <w:p>
      <w:pPr>
        <w:pStyle w:val="Heading2"/>
        <w:spacing w:after="100" w:before="240"/>
      </w:pPr>
      <w:r>
        <w:rPr>
          <w:rFonts w:ascii="Arial" w:cs="Arial" w:eastAsia="Arial" w:hAnsi="Arial"/>
          <w:b/>
          <w:bCs/>
          <w:color w:val="2E4F8A"/>
          <w:sz w:val="24"/>
          <w:szCs w:val="24"/>
        </w:rPr>
        <w:t xml:space="preserve">Four Questions Asked — Four Answers</w:t>
      </w:r>
    </w:p>
    <w:p>
      <w:pPr>
        <w:spacing w:after="20" w:before="60"/>
      </w:pPr>
    </w:p>
    <w:p>
      <w:pPr>
        <w:pStyle w:val="Heading3"/>
        <w:spacing w:after="80" w:before="180"/>
      </w:pPr>
      <w:r>
        <w:rPr>
          <w:rFonts w:ascii="Arial" w:cs="Arial" w:eastAsia="Arial" w:hAnsi="Arial"/>
          <w:b/>
          <w:bCs/>
          <w:color w:val="1F3864"/>
          <w:sz w:val="22"/>
          <w:szCs w:val="22"/>
        </w:rPr>
        <w:t xml:space="preserve">1. Which stages are best candidates?</w:t>
      </w:r>
    </w:p>
    <w:p>
      <w:pPr>
        <w:spacing w:after="60" w:before="60"/>
      </w:pPr>
      <w:r>
        <w:rPr>
          <w:rFonts w:ascii="Arial" w:cs="Arial" w:eastAsia="Arial" w:hAnsi="Arial"/>
          <w:b w:val="false"/>
          <w:bCs w:val="false"/>
          <w:color w:val="000000"/>
          <w:sz w:val="22"/>
          <w:szCs w:val="22"/>
        </w:rPr>
        <w:t xml:space="preserve">The two strongest candidates are Diligence and Post-Meeting Analysis — both are multi-session workflows that actively lose context between Cowork sessions. Diligence spans weeks across multiple researchers; post-meeting analysis has three structured meetings (Demo → GTM → Financials) that are meant to build a progressive thesis but currently require manual context re-ingest between each one. Pipeline Monitoring is a lighter win: the manual /sync-pipeline trigger is easily replaced by a scheduled managed agent.</w:t>
      </w:r>
    </w:p>
    <w:p>
      <w:pPr>
        <w:spacing w:after="80" w:before="80"/>
      </w:pPr>
    </w:p>
    <w:p>
      <w:pPr>
        <w:pStyle w:val="Heading3"/>
        <w:spacing w:after="80" w:before="180"/>
      </w:pPr>
      <w:r>
        <w:rPr>
          <w:rFonts w:ascii="Arial" w:cs="Arial" w:eastAsia="Arial" w:hAnsi="Arial"/>
          <w:b/>
          <w:bCs/>
          <w:color w:val="1F3864"/>
          <w:sz w:val="22"/>
          <w:szCs w:val="22"/>
        </w:rPr>
        <w:t xml:space="preserve">2. Agent Teams vs. Subagents</w:t>
      </w:r>
    </w:p>
    <w:p>
      <w:pPr>
        <w:spacing w:after="60" w:before="60"/>
      </w:pPr>
      <w:r>
        <w:rPr>
          <w:rFonts w:ascii="Arial" w:cs="Arial" w:eastAsia="Arial" w:hAnsi="Arial"/>
          <w:b w:val="false"/>
          <w:bCs w:val="false"/>
          <w:color w:val="000000"/>
          <w:sz w:val="22"/>
          <w:szCs w:val="22"/>
        </w:rPr>
        <w:t xml:space="preserve">Agent Teams (parallel) fit the research burst at Scout and Diligence — four agents (company-researcher, market-analyst, competitive-intelligence, technical-diligence) have no data dependencies on each other during the research phase and can run simultaneously. Subagents (sequential) fit gate-dependent logic: AutoKill → Scout, analyst POV → tracker reconciliation, 17-folder completion → DD Report. The pipeline's stage progression is inherently sequential by design — parallelising gate logic would defeat the AutoKill function.</w:t>
      </w:r>
    </w:p>
    <w:p>
      <w:pPr>
        <w:spacing w:after="80" w:before="80"/>
      </w:pPr>
    </w:p>
    <w:p>
      <w:pPr>
        <w:pStyle w:val="Heading3"/>
        <w:spacing w:after="80" w:before="180"/>
      </w:pPr>
      <w:r>
        <w:rPr>
          <w:rFonts w:ascii="Arial" w:cs="Arial" w:eastAsia="Arial" w:hAnsi="Arial"/>
          <w:b/>
          <w:bCs/>
          <w:color w:val="1F3864"/>
          <w:sz w:val="22"/>
          <w:szCs w:val="22"/>
        </w:rPr>
        <w:t xml:space="preserve">3. What moves to code vs. stays in Cowork?</w:t>
      </w:r>
    </w:p>
    <w:p>
      <w:pPr>
        <w:spacing w:after="60" w:before="60"/>
      </w:pPr>
      <w:r>
        <w:rPr>
          <w:rFonts w:ascii="Arial" w:cs="Arial" w:eastAsia="Arial" w:hAnsi="Arial"/>
          <w:b w:val="false"/>
          <w:bCs w:val="false"/>
          <w:color w:val="000000"/>
          <w:sz w:val="22"/>
          <w:szCs w:val="22"/>
        </w:rPr>
        <w:t xml:space="preserve">Orchestration logic, automated Dealum triggers, parallel agent launching, and durable session lifecycle management must move to code. Human judgment gates (IC decisions, document review, framework calibration, ad hoc analysis) stay in Cowork. The Dealum API integration is the prerequisite that unlocks the orchestration layer — without live pipeline state, the orchestrator has nothing to act on.</w:t>
      </w:r>
    </w:p>
    <w:p>
      <w:pPr>
        <w:spacing w:after="80" w:before="80"/>
      </w:pPr>
    </w:p>
    <w:p>
      <w:pPr>
        <w:pStyle w:val="Heading3"/>
        <w:spacing w:after="80" w:before="180"/>
      </w:pPr>
      <w:r>
        <w:rPr>
          <w:rFonts w:ascii="Arial" w:cs="Arial" w:eastAsia="Arial" w:hAnsi="Arial"/>
          <w:b/>
          <w:bCs/>
          <w:color w:val="1F3864"/>
          <w:sz w:val="22"/>
          <w:szCs w:val="22"/>
        </w:rPr>
        <w:t xml:space="preserve">4. Does the durable session log solve the context problems?</w:t>
      </w:r>
    </w:p>
    <w:p>
      <w:pPr>
        <w:spacing w:after="60" w:before="60"/>
      </w:pPr>
      <w:r>
        <w:rPr>
          <w:rFonts w:ascii="Arial" w:cs="Arial" w:eastAsia="Arial" w:hAnsi="Arial"/>
          <w:b w:val="false"/>
          <w:bCs w:val="false"/>
          <w:color w:val="000000"/>
          <w:sz w:val="22"/>
          <w:szCs w:val="22"/>
        </w:rPr>
        <w:t xml:space="preserve">Largely yes. The most acute pain is multi-session workflows running in a single-session tool. The durable session eliminates the re-ingest cycle for Diligence and preserves the progressive analyst POV thread across all three post-meeting calls. One design decision matters: the orchestrator must be opinionated about what it curates into durable state vs. treats as ephemeral. A session log that accumulates raw transcripts without synthesis recreates the problem at a higher level.</w:t>
      </w:r>
    </w:p>
    <w:p>
      <w:pPr>
        <w:spacing w:after="80" w:before="80"/>
      </w:pPr>
    </w:p>
    <w:p>
      <w:pPr>
        <w:pStyle w:val="Heading2"/>
        <w:spacing w:after="100" w:before="240"/>
      </w:pPr>
      <w:r>
        <w:rPr>
          <w:rFonts w:ascii="Arial" w:cs="Arial" w:eastAsia="Arial" w:hAnsi="Arial"/>
          <w:b/>
          <w:bCs/>
          <w:color w:val="2E4F8A"/>
          <w:sz w:val="24"/>
          <w:szCs w:val="24"/>
        </w:rPr>
        <w:t xml:space="preserve">Key Constraint</w:t>
      </w:r>
    </w:p>
    <w:p>
      <w:pPr>
        <w:spacing w:after="60" w:before="60"/>
      </w:pPr>
      <w:r>
        <w:rPr>
          <w:rFonts w:ascii="Arial" w:cs="Arial" w:eastAsia="Arial" w:hAnsi="Arial"/>
          <w:b w:val="false"/>
          <w:bCs w:val="false"/>
          <w:color w:val="000000"/>
          <w:sz w:val="22"/>
          <w:szCs w:val="22"/>
        </w:rPr>
        <w:t xml:space="preserve">Dealum API integration (DEALUM_TOKEN + DEALUM_ROOM_ID) is the prerequisite for everything. The orchestrator cannot act on pipeline state it cannot read. This is Phase 1 of the implementation sequence — everything else follows from it.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9026"/>
      </w:tabs>
      <w:spacing w:after="0" w:before="80"/>
    </w:pPr>
    <w:r>
      <w:rPr>
        <w:rFonts w:ascii="Arial" w:cs="Arial" w:eastAsia="Arial" w:hAnsi="Arial"/>
        <w:color w:val="888888"/>
        <w:sz w:val="18"/>
        <w:szCs w:val="18"/>
      </w:rPr>
      <w:t xml:space="preserve">New World Angels — Investment Intelligence Platform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9026"/>
      </w:tabs>
      <w:spacing w:after="80" w:before="0"/>
    </w:pPr>
    <w:r>
      <w:rPr>
        <w:rFonts w:ascii="Arial" w:cs="Arial" w:eastAsia="Arial" w:hAnsi="Arial"/>
        <w:b/>
        <w:bCs/>
        <w:color w:val="1F3864"/>
        <w:sz w:val="18"/>
        <w:szCs w:val="18"/>
      </w:rPr>
      <w:t xml:space="preserve">NWAi TechGroup — Managed Agents Architecture</w:t>
    </w:r>
    <w:r>
      <w:rPr>
        <w:rFonts w:ascii="Arial" w:cs="Arial" w:eastAsia="Arial" w:hAnsi="Arial"/>
        <w:color w:val="888888"/>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bullet"/>
      <w:lvlText w:val="◦"/>
      <w:lvlJc w:val="left"/>
      <w:pPr>
        <w:ind w:left="9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F8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2026-04-16T22:02:04.876Z</dcterms:created>
  <dcterms:modified xsi:type="dcterms:W3CDTF">2026-04-16T22:02:04.877Z</dcterms:modified>
</cp:coreProperties>
</file>

<file path=docProps/custom.xml><?xml version="1.0" encoding="utf-8"?>
<Properties xmlns="http://schemas.openxmlformats.org/officeDocument/2006/custom-properties" xmlns:vt="http://schemas.openxmlformats.org/officeDocument/2006/docPropsVTypes"/>
</file>