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tblGrid>
      <w:tr>
        <w:tc>
          <w:tcPr>
            <w:shd w:fill="E8F5E9" w:val="clear"/>
            <w:tcMar>
              <w:top w:type="dxa" w:w="160"/>
              <w:left w:type="dxa" w:w="200"/>
              <w:bottom w:type="dxa" w:w="160"/>
              <w:right w:type="dxa" w:w="200"/>
            </w:tcMar>
          </w:tcPr>
          <w:p>
            <w:pPr>
              <w:spacing w:after="0" w:before="0"/>
              <w:jc w:val="center"/>
            </w:pPr>
            <w:r>
              <w:rPr>
                <w:rFonts w:ascii="Arial" w:cs="Arial" w:eastAsia="Arial" w:hAnsi="Arial"/>
                <w:b/>
                <w:bCs/>
                <w:i w:val="false"/>
                <w:iCs w:val="false"/>
                <w:color w:val="1B5E20"/>
                <w:sz w:val="28"/>
                <w:szCs w:val="28"/>
              </w:rPr>
              <w:t xml:space="preserve">NWAi RECOMMENDATION: ✓ INVEST — Conditional</w:t>
            </w:r>
          </w:p>
          <w:p>
            <w:pPr>
              <w:spacing w:after="6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val="false"/>
                <w:bCs w:val="false"/>
                <w:i/>
                <w:iCs/>
                <w:color w:val="1B5E20"/>
                <w:sz w:val="18"/>
                <w:szCs w:val="18"/>
              </w:rPr>
              <w:t xml:space="preserve">Invest contingent on: (1) bridge round closes by April 30, 2026 and (2) ARR composition confirmed (≥40% recurring SaaS/AMC). Re-evaluate conditions within 30 days.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10512"/>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gridCol w:w="100"/>
      </w:tblGrid>
      <w:tr>
        <w:tc>
          <w:tcPr>
            <w:gridSpan w:val="4"/>
            <w:shd w:fill="1F3864" w:val="clear"/>
            <w:tcMar>
              <w:top w:type="dxa" w:w="120"/>
              <w:left w:type="dxa" w:w="160"/>
              <w:bottom w:type="dxa" w:w="120"/>
              <w:right w:type="dxa" w:w="160"/>
            </w:tcMar>
          </w:tcPr>
          <w:p>
            <w:pPr>
              <w:spacing w:after="60" w:before="60"/>
              <w:jc w:val="left"/>
            </w:pPr>
            <w:r>
              <w:rPr>
                <w:rFonts w:ascii="Arial" w:cs="Arial" w:eastAsia="Arial" w:hAnsi="Arial"/>
                <w:b/>
                <w:bCs/>
                <w:i w:val="false"/>
                <w:iCs w:val="false"/>
                <w:color w:val="FFFFFF"/>
                <w:sz w:val="22"/>
                <w:szCs w:val="22"/>
              </w:rPr>
              <w:t xml:space="preserve">COMPANY DESCRIPTION</w:t>
            </w:r>
          </w:p>
        </w:tc>
      </w:tr>
      <w:tr>
        <w:tc>
          <w:tcPr>
            <w:tcW w:type="dxa" w:w="10512"/>
            <w:gridSpan w:val="4"/>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19"/>
                <w:szCs w:val="19"/>
              </w:rPr>
              <w:t xml:space="preserve">Summit Technology Laboratory (STL) (Irvine, CA; founded 2022) develops Artemis — an AI-powered calibration platform that automates geometry alignment and color matching for multi-projector immersive display systems across domes, curved walls, and irregular architectural surfaces. Artemis reduces multi-projector setup from days to minutes, enabling scalable, repeatable immersive displays at mid-market price points. STL holds exclusive perpetual licenses to two active UCI patents on arbitrary-surface projection calibration and is led by Dr. Aditi Majumder, a UCI Computer Science professor and internationally recognized expert in projection systems. The company serves AV integrators, OEM hardware partners, and enterprise end users across entertainment, hospitality, simulation, and architectural visualization verticals.</w:t>
            </w:r>
          </w:p>
        </w:tc>
      </w:tr>
      <w:tr>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Platform</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Artemis (projection calibration AI)</w:t>
            </w:r>
          </w:p>
        </w:tc>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Stage</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TRL 8–9 — Production contracts signed</w:t>
            </w:r>
          </w:p>
        </w:tc>
      </w:tr>
      <w:tr>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HQ</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Irvine, CA</w:t>
            </w:r>
          </w:p>
        </w:tc>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Round</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Convertible Note (Bridge)</w:t>
            </w:r>
          </w:p>
        </w:tc>
      </w:tr>
      <w:tr>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CEO</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Dr. Aditi Majumder</w:t>
            </w:r>
          </w:p>
        </w:tc>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Raise</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$750K</w:t>
            </w:r>
          </w:p>
        </w:tc>
      </w:tr>
      <w:tr>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Founded</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2022</w:t>
            </w:r>
          </w:p>
        </w:tc>
        <w:tc>
          <w:tcPr>
            <w:tcW w:type="dxa" w:w="2313"/>
            <w:shd w:fill="F4F4F4" w:val="clear"/>
            <w:tcMar>
              <w:top w:type="dxa" w:w="100"/>
              <w:left w:type="dxa" w:w="140"/>
              <w:bottom w:type="dxa" w:w="100"/>
              <w:right w:type="dxa" w:w="100"/>
            </w:tcMar>
            <w:vAlign w:val="top"/>
          </w:tcPr>
          <w:p>
            <w:pPr>
              <w:spacing w:after="60" w:before="60"/>
              <w:jc w:val="left"/>
            </w:pPr>
            <w:r>
              <w:rPr>
                <w:rFonts w:ascii="Arial" w:cs="Arial" w:eastAsia="Arial" w:hAnsi="Arial"/>
                <w:b/>
                <w:bCs/>
                <w:i w:val="false"/>
                <w:iCs w:val="false"/>
                <w:color w:val="000000"/>
                <w:sz w:val="19"/>
                <w:szCs w:val="19"/>
              </w:rPr>
              <w:t xml:space="preserve">NWAi Check Size</w:t>
            </w:r>
          </w:p>
        </w:tc>
        <w:tc>
          <w:tcPr>
            <w:tcW w:type="dxa" w:w="2943"/>
            <w:shd w:fill="FFFFFF" w:val="clear"/>
            <w:tcMar>
              <w:top w:type="dxa" w:w="100"/>
              <w:left w:type="dxa" w:w="140"/>
              <w:bottom w:type="dxa" w:w="100"/>
              <w:right w:type="dxa" w:w="100"/>
            </w:tcMar>
            <w:vAlign w:val="top"/>
          </w:tcPr>
          <w:p>
            <w:pPr>
              <w:spacing w:after="60" w:before="60"/>
              <w:jc w:val="left"/>
            </w:pPr>
            <w:r>
              <w:rPr>
                <w:rFonts w:ascii="Arial" w:cs="Arial" w:eastAsia="Arial" w:hAnsi="Arial"/>
                <w:b w:val="false"/>
                <w:bCs w:val="false"/>
                <w:i w:val="false"/>
                <w:iCs w:val="false"/>
                <w:color w:val="000000"/>
                <w:sz w:val="19"/>
                <w:szCs w:val="19"/>
              </w:rPr>
              <w:t xml:space="preserve">[TO BE CONFIRMED]</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19"/>
          <w:szCs w:val="19"/>
        </w:rPr>
        <w:t xml:space="preserve">⚠  STRUCTURAL NOTE: Convertible note carries a 1.5× liquidation preference — non-standard term. Recommend legal review and negotiation before closing. C-Corp structure confirmed ✓.</w:t>
      </w:r>
    </w:p>
    <w:p>
      <w:pPr>
        <w:spacing w:after="120" w:before="0"/>
        <w:jc w:val="left"/>
      </w:pPr>
      <w:r>
        <w:rPr>
          <w:rFonts w:ascii="Arial" w:cs="Arial" w:eastAsia="Arial" w:hAnsi="Arial"/>
          <w:b w:val="false"/>
          <w:bCs w:val="false"/>
          <w:i/>
          <w:iCs/>
          <w:color w:val="555555"/>
          <w:sz w:val="18"/>
          <w:szCs w:val="18"/>
        </w:rPr>
        <w:t xml:space="preserve">Scoring: 1 (lowest) to 5 (highest)</w:t>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1.  THE PROBLEM / MARKET OPPORTUNITY</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val="false"/>
                <w:bCs w:val="false"/>
                <w:i w:val="false"/>
                <w:iCs w:val="false"/>
                <w:color w:val="000000"/>
                <w:sz w:val="20"/>
                <w:szCs w:val="20"/>
              </w:rPr>
              <w:t xml:space="preserve">Calibrating multi-projector systems across arbitrary, non-flat surfaces — domes, curved walls, architectural environments — has required days of manual specialist labor, making large-format immersive display installations expensive, slow, and non-repeatable. No software solution has automated this workflow across arbitrary geometries without manual surface measurement. Artemis closes this gap.</w:t>
            </w:r>
          </w:p>
          <w:p>
            <w:pPr>
              <w:spacing w:after="60" w:before="60"/>
              <w:jc w:val="left"/>
            </w:pPr>
            <w:r>
              <w:rPr>
                <w:rFonts w:ascii="Arial" w:cs="Arial" w:eastAsia="Arial" w:hAnsi="Arial"/>
                <w:b w:val="false"/>
                <w:bCs w:val="false"/>
                <w:i w:val="false"/>
                <w:iCs w:val="false"/>
                <w:color w:val="000000"/>
                <w:sz w:val="20"/>
                <w:szCs w:val="20"/>
              </w:rPr>
              <w:t xml:space="preserve">Timing is strong: mid-market venues cannot afford traditional manual calibration, and Panasonic's engineering team independently validated Artemis as "10 years ahead" of anything commercially available — an unsolicited Fortune 500 OEM endorsement, not a marketing claim.</w:t>
            </w:r>
          </w:p>
          <w:p>
            <w:pPr>
              <w:spacing w:after="60" w:before="60"/>
              <w:jc w:val="left"/>
            </w:pPr>
            <w:r>
              <w:rPr>
                <w:rFonts w:ascii="Arial" w:cs="Arial" w:eastAsia="Arial" w:hAnsi="Arial"/>
                <w:b/>
                <w:bCs/>
                <w:i w:val="false"/>
                <w:iCs w:val="false"/>
                <w:color w:val="000000"/>
                <w:sz w:val="20"/>
                <w:szCs w:val="20"/>
              </w:rPr>
              <w:t xml:space="preserve">Market Size:</w:t>
            </w:r>
            <w:r>
              <w:rPr>
                <w:rFonts w:ascii="Arial" w:cs="Arial" w:eastAsia="Arial" w:hAnsi="Arial"/>
                <w:b w:val="false"/>
                <w:bCs w:val="false"/>
                <w:i w:val="false"/>
                <w:iCs w:val="false"/>
                <w:color w:val="000000"/>
                <w:sz w:val="20"/>
                <w:szCs w:val="20"/>
              </w:rPr>
              <w:t xml:space="preserve">  TAM $14B–$19B. SAM $92M (software-addressable: projector install base × per-unit attach rate). CAGR 21–23%. Timing Score 4/5. SAM scale prevents a 5 — niche ceiling limits upside.</w:t>
            </w:r>
          </w:p>
        </w:tc>
        <w:tc>
          <w:tcPr>
            <w:tcW w:type="dxa" w:w="1080"/>
            <w:shd w:fill="375623"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48"/>
                <w:szCs w:val="48"/>
              </w:rPr>
              <w:t xml:space="preserve">4</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2.  THE SOLUTION / PRODUCT</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val="false"/>
                <w:bCs w:val="false"/>
                <w:i w:val="false"/>
                <w:iCs w:val="false"/>
                <w:color w:val="000000"/>
                <w:sz w:val="20"/>
                <w:szCs w:val="20"/>
              </w:rPr>
              <w:t xml:space="preserve">Artemis is a commercially deployed AI calibration engine (TRL 8–9) with signed production contracts: Panasonic (80 projectors) and NPI-AV (144 projectors) — both at commercial pricing terms. The core algorithm, derived from Dr. Majumder's proprietary research, automates geometry computation for arbitrary surfaces using computer vision; no physical surface measurement required.</w:t>
            </w:r>
          </w:p>
          <w:p>
            <w:pPr>
              <w:spacing w:after="60" w:before="60"/>
              <w:jc w:val="left"/>
            </w:pPr>
            <w:r>
              <w:rPr>
                <w:rFonts w:ascii="Arial" w:cs="Arial" w:eastAsia="Arial" w:hAnsi="Arial"/>
                <w:b/>
                <w:bCs/>
                <w:i w:val="false"/>
                <w:iCs w:val="false"/>
                <w:color w:val="000000"/>
                <w:sz w:val="20"/>
                <w:szCs w:val="20"/>
              </w:rPr>
              <w:t xml:space="preserve">IP:</w:t>
            </w:r>
            <w:r>
              <w:rPr>
                <w:rFonts w:ascii="Arial" w:cs="Arial" w:eastAsia="Arial" w:hAnsi="Arial"/>
                <w:b w:val="false"/>
                <w:bCs w:val="false"/>
                <w:i w:val="false"/>
                <w:iCs w:val="false"/>
                <w:color w:val="000000"/>
                <w:sz w:val="20"/>
                <w:szCs w:val="20"/>
              </w:rPr>
              <w:t xml:space="preserve">  Exclusive perpetual licenses from UCI on 2 active patents. 2.5% combined royalty (operating obligation, not equity). License transfers as-is on change of control. </w:t>
            </w:r>
            <w:r>
              <w:rPr>
                <w:rFonts w:ascii="Arial" w:cs="Arial" w:eastAsia="Arial" w:hAnsi="Arial"/>
                <w:b w:val="false"/>
                <w:bCs w:val="false"/>
                <w:i/>
                <w:iCs/>
                <w:color w:val="000000"/>
                <w:sz w:val="20"/>
                <w:szCs w:val="20"/>
              </w:rPr>
              <w:t xml:space="preserve">⚠  'Unless new owner wishes to renegotiate' language — legal review required before close.</w:t>
            </w:r>
          </w:p>
          <w:p>
            <w:pPr>
              <w:spacing w:after="60" w:before="60"/>
              <w:jc w:val="left"/>
            </w:pPr>
            <w:r>
              <w:rPr>
                <w:rFonts w:ascii="Arial" w:cs="Arial" w:eastAsia="Arial" w:hAnsi="Arial"/>
                <w:b w:val="false"/>
                <w:bCs w:val="false"/>
                <w:i w:val="false"/>
                <w:iCs w:val="false"/>
                <w:color w:val="000000"/>
                <w:sz w:val="20"/>
                <w:szCs w:val="20"/>
              </w:rPr>
              <w:t xml:space="preserve">Switching costs are real: recalibration using a competing system requires full reinstallation and workflow retraining. Vertical specialization is strong — purpose-built for a technically demanding use case generalist tools cannot serve.</w:t>
            </w:r>
          </w:p>
          <w:p>
            <w:pPr>
              <w:spacing w:after="60" w:before="60"/>
              <w:jc w:val="left"/>
            </w:pPr>
            <w:r>
              <w:rPr>
                <w:rFonts w:ascii="Arial" w:cs="Arial" w:eastAsia="Arial" w:hAnsi="Arial"/>
                <w:b/>
                <w:bCs/>
                <w:i w:val="false"/>
                <w:iCs w:val="false"/>
                <w:color w:val="000000"/>
                <w:sz w:val="19"/>
                <w:szCs w:val="19"/>
              </w:rPr>
              <w:t xml:space="preserve">Moat Tier 1: 3/6 (Weak-to-Moderate)  |  Elements present:</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3773"/>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Moat Element</w:t>
                  </w:r>
                </w:p>
              </w:tc>
              <w:tc>
                <w:tcPr>
                  <w:tcW w:type="dxa" w:w="1415"/>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Present?</w:t>
                  </w:r>
                </w:p>
              </w:tc>
              <w:tc>
                <w:tcPr>
                  <w:tcW w:type="dxa" w:w="4244"/>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Assessment</w:t>
                  </w:r>
                </w:p>
              </w:tc>
            </w:tr>
            <w:tr>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Network Effects</w:t>
                  </w:r>
                </w:p>
              </w:tc>
              <w:tc>
                <w:tcPr>
                  <w:tcW w:type="dxa" w:w="141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No cross-customer value amplification</w:t>
                  </w:r>
                </w:p>
              </w:tc>
            </w:tr>
            <w:tr>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Switching Costs</w:t>
                  </w:r>
                </w:p>
              </w:tc>
              <w:tc>
                <w:tcPr>
                  <w:tcW w:type="dxa" w:w="1415"/>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Workflow reinstallation + recalibration cost on migration</w:t>
                  </w:r>
                </w:p>
              </w:tc>
            </w:tr>
            <w:tr>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Proprietary Data</w:t>
                  </w:r>
                </w:p>
              </w:tc>
              <w:tc>
                <w:tcPr>
                  <w:tcW w:type="dxa" w:w="141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Calibration models are installation-specific, not cross-customer</w:t>
                  </w:r>
                </w:p>
              </w:tc>
            </w:tr>
            <w:tr>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IP / Patents</w:t>
                  </w:r>
                </w:p>
              </w:tc>
              <w:tc>
                <w:tcPr>
                  <w:tcW w:type="dxa" w:w="1415"/>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 active UCI patents — exclusive perpetual license</w:t>
                  </w:r>
                </w:p>
              </w:tc>
            </w:tr>
            <w:tr>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Regulatory Barriers</w:t>
                  </w:r>
                </w:p>
              </w:tc>
              <w:tc>
                <w:tcPr>
                  <w:tcW w:type="dxa" w:w="141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No regulatory lock-in in AV/projection sector</w:t>
                  </w:r>
                </w:p>
              </w:tc>
            </w:tr>
            <w:tr>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Vertical Specialization</w:t>
                  </w:r>
                </w:p>
              </w:tc>
              <w:tc>
                <w:tcPr>
                  <w:tcW w:type="dxa" w:w="1415"/>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Purpose-built for arbitrary-geometry projection calibration</w:t>
                  </w:r>
                </w:p>
              </w:tc>
            </w:tr>
          </w:tbl>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3.  AI / SOFTWARE MOAT</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val="false"/>
                <w:bCs w:val="false"/>
                <w:i w:val="false"/>
                <w:iCs w:val="false"/>
                <w:color w:val="000000"/>
                <w:sz w:val="20"/>
                <w:szCs w:val="20"/>
              </w:rPr>
              <w:t xml:space="preserve">Artemis passes the thin-wrapper test: the calibration algorithm cannot be replicated in 48 hours via public APIs and is grounded in research-derived algorithms unavailable commercially. The AI moat is nascent — the system accumulates installation-specific calibration data but has not built a cross-customer proprietary training corpus.</w:t>
            </w:r>
          </w:p>
          <w:p>
            <w:pPr>
              <w:spacing w:after="60" w:before="60"/>
              <w:jc w:val="left"/>
            </w:pPr>
            <w:r>
              <w:rPr>
                <w:rFonts w:ascii="Arial" w:cs="Arial" w:eastAsia="Arial" w:hAnsi="Arial"/>
                <w:b/>
                <w:bCs/>
                <w:i w:val="false"/>
                <w:iCs w:val="false"/>
                <w:color w:val="000000"/>
                <w:sz w:val="19"/>
                <w:szCs w:val="19"/>
              </w:rPr>
              <w:t xml:space="preserve">AI Moat Tier 2: 3/10 (Thin–Moderate)  |  Elements scored:</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4244"/>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Moat Dimension</w:t>
                  </w:r>
                </w:p>
              </w:tc>
              <w:tc>
                <w:tcPr>
                  <w:tcW w:type="dxa" w:w="113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Score</w:t>
                  </w:r>
                </w:p>
              </w:tc>
              <w:tc>
                <w:tcPr>
                  <w:tcW w:type="dxa" w:w="4056"/>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Note</w:t>
                  </w:r>
                </w:p>
              </w:tc>
            </w:tr>
            <w:tr>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Training Data (proprietary corpus)</w:t>
                  </w:r>
                </w:p>
              </w:tc>
              <w:tc>
                <w:tcPr>
                  <w:tcW w:type="dxa" w:w="113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0/2</w:t>
                  </w:r>
                </w:p>
              </w:tc>
              <w:tc>
                <w:tcPr>
                  <w:tcW w:type="dxa" w:w="40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Academic base; no cross-customer data flywheel yet</w:t>
                  </w:r>
                </w:p>
              </w:tc>
            </w:tr>
            <w:tr>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Memory Lock-in (per-installation accumulation)</w:t>
                  </w:r>
                </w:p>
              </w:tc>
              <w:tc>
                <w:tcPr>
                  <w:tcW w:type="dxa" w:w="113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1/1</w:t>
                  </w:r>
                </w:p>
              </w:tc>
              <w:tc>
                <w:tcPr>
                  <w:tcW w:type="dxa" w:w="40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Each installation builds a calibration model that improves with use</w:t>
                  </w:r>
                </w:p>
              </w:tc>
            </w:tr>
            <w:tr>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Inference Data Advantages</w:t>
                  </w:r>
                </w:p>
              </w:tc>
              <w:tc>
                <w:tcPr>
                  <w:tcW w:type="dxa" w:w="113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0/1</w:t>
                  </w:r>
                </w:p>
              </w:tc>
              <w:tc>
                <w:tcPr>
                  <w:tcW w:type="dxa" w:w="40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No real-time inference feedback loop established</w:t>
                  </w:r>
                </w:p>
              </w:tc>
            </w:tr>
            <w:tr>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Custom Model Training</w:t>
                  </w:r>
                </w:p>
              </w:tc>
              <w:tc>
                <w:tcPr>
                  <w:tcW w:type="dxa" w:w="113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0/1</w:t>
                  </w:r>
                </w:p>
              </w:tc>
              <w:tc>
                <w:tcPr>
                  <w:tcW w:type="dxa" w:w="40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No bespoke model training beyond academic research base</w:t>
                  </w:r>
                </w:p>
              </w:tc>
            </w:tr>
            <w:tr>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Proprietary Hardware Layer</w:t>
                  </w:r>
                </w:p>
              </w:tc>
              <w:tc>
                <w:tcPr>
                  <w:tcW w:type="dxa" w:w="113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0/1</w:t>
                  </w:r>
                </w:p>
              </w:tc>
              <w:tc>
                <w:tcPr>
                  <w:tcW w:type="dxa" w:w="40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Software-only; no hardware dependency</w:t>
                  </w:r>
                </w:p>
              </w:tc>
            </w:tr>
            <w:tr>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Workflow Integration Depth</w:t>
                  </w:r>
                </w:p>
              </w:tc>
              <w:tc>
                <w:tcPr>
                  <w:tcW w:type="dxa" w:w="113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2/2</w:t>
                  </w:r>
                </w:p>
              </w:tc>
              <w:tc>
                <w:tcPr>
                  <w:tcW w:type="dxa" w:w="40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Deeply embedded in multi-projector production workflow; friction at point of replacement</w:t>
                  </w:r>
                </w:p>
              </w:tc>
            </w:tr>
            <w:tr>
              <w:tc>
                <w:tcPr>
                  <w:tcW w:type="dxa" w:w="424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Regulatory / Compliance Layer</w:t>
                  </w:r>
                </w:p>
              </w:tc>
              <w:tc>
                <w:tcPr>
                  <w:tcW w:type="dxa" w:w="113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0/1</w:t>
                  </w:r>
                </w:p>
              </w:tc>
              <w:tc>
                <w:tcPr>
                  <w:tcW w:type="dxa" w:w="40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No regulatory lock-in</w:t>
                  </w:r>
                </w:p>
              </w:tc>
            </w:tr>
            <w:tr>
              <w:tc>
                <w:tcPr>
                  <w:tcW w:type="dxa" w:w="424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Network Effects (AI improves with users)</w:t>
                  </w:r>
                </w:p>
              </w:tc>
              <w:tc>
                <w:tcPr>
                  <w:tcW w:type="dxa" w:w="113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0/1</w:t>
                  </w:r>
                </w:p>
              </w:tc>
              <w:tc>
                <w:tcPr>
                  <w:tcW w:type="dxa" w:w="40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Calibration models are installation-specific, not network-wide</w:t>
                  </w:r>
                </w:p>
              </w:tc>
            </w:tr>
          </w:tbl>
          <w:p>
            <w:pPr>
              <w:spacing w:after="6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20"/>
                <w:szCs w:val="20"/>
              </w:rPr>
              <w:t xml:space="preserve">AI Moat Total: 3/10.  </w:t>
            </w:r>
            <w:r>
              <w:rPr>
                <w:rFonts w:ascii="Arial" w:cs="Arial" w:eastAsia="Arial" w:hAnsi="Arial"/>
                <w:b w:val="false"/>
                <w:bCs w:val="false"/>
                <w:i w:val="false"/>
                <w:iCs w:val="false"/>
                <w:color w:val="000000"/>
                <w:sz w:val="19"/>
                <w:szCs w:val="19"/>
              </w:rPr>
              <w:t xml:space="preserve">Memory Lock-in + Workflow Integration are the moat seeds. Building a cross-installation proprietary training corpus is the highest-leverage moat-deepening action available and should be a DD question for Series A.</w:t>
            </w:r>
          </w:p>
        </w:tc>
        <w:tc>
          <w:tcPr>
            <w:tcW w:type="dxa" w:w="1080"/>
            <w:shd w:fill="C00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48"/>
                <w:szCs w:val="48"/>
              </w:rPr>
              <w:t xml:space="preserve">2</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4.  COMPETITION &amp; MOAT</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val="false"/>
                <w:bCs w:val="false"/>
                <w:i w:val="false"/>
                <w:iCs w:val="false"/>
                <w:color w:val="000000"/>
                <w:sz w:val="20"/>
                <w:szCs w:val="20"/>
              </w:rPr>
              <w:t xml:space="preserve">The projection calibration market includes established players, but none offer automated calibration across arbitrary, non-flat geometries at Artemis's depth. Existing solutions require either manual geometric mapping, physical measurement rigs, or are limited to flat/cylindrical surfaces.</w:t>
            </w:r>
          </w:p>
          <w:p>
            <w:pPr>
              <w:spacing w:after="60" w:before="60"/>
              <w:jc w:val="left"/>
            </w:pPr>
            <w:r>
              <w:rPr>
                <w:rFonts w:ascii="Arial" w:cs="Arial" w:eastAsia="Arial" w:hAnsi="Arial"/>
                <w:b/>
                <w:bCs/>
                <w:i w:val="false"/>
                <w:iCs w:val="false"/>
                <w:color w:val="000000"/>
                <w:sz w:val="20"/>
                <w:szCs w:val="20"/>
              </w:rPr>
              <w:t xml:space="preserve">Named competitors:</w:t>
            </w:r>
            <w:r>
              <w:rPr>
                <w:rFonts w:ascii="Arial" w:cs="Arial" w:eastAsia="Arial" w:hAnsi="Arial"/>
                <w:b w:val="false"/>
                <w:bCs w:val="false"/>
                <w:i w:val="false"/>
                <w:iCs w:val="false"/>
                <w:color w:val="000000"/>
                <w:sz w:val="20"/>
                <w:szCs w:val="20"/>
              </w:rPr>
              <w:t xml:space="preserve">  Disguise (d3 Technologies) — enterprise projection mapping leader (live events, broadcast); Watchout/Dataton — legacy standard for large multi-projector shows; VIOSO — European calibration software; Christie/Barco — AV manufacturers with basic integrated calibration tools. None match Artemis on arbitrary-surface automation.</w:t>
            </w:r>
          </w:p>
          <w:p>
            <w:pPr>
              <w:spacing w:after="60" w:before="60"/>
              <w:jc w:val="left"/>
            </w:pPr>
            <w:r>
              <w:rPr>
                <w:rFonts w:ascii="Arial" w:cs="Arial" w:eastAsia="Arial" w:hAnsi="Arial"/>
                <w:b w:val="false"/>
                <w:bCs w:val="false"/>
                <w:i/>
                <w:iCs/>
                <w:color w:val="000000"/>
                <w:sz w:val="20"/>
                <w:szCs w:val="20"/>
              </w:rPr>
              <w:t xml:space="preserve">⚠  Panasonic, Christie, and Barco are well-resourced and could accelerate development if the market grows as projected. The Panasonic relationship provides both validation and partial defensive cover — but it does not eliminate the incumbent response risk.</w:t>
            </w:r>
          </w:p>
          <w:p>
            <w:pPr>
              <w:spacing w:after="60" w:before="60"/>
              <w:jc w:val="left"/>
            </w:pPr>
            <w:r>
              <w:rPr>
                <w:rFonts w:ascii="Arial" w:cs="Arial" w:eastAsia="Arial" w:hAnsi="Arial"/>
                <w:b/>
                <w:bCs/>
                <w:i w:val="false"/>
                <w:iCs w:val="false"/>
                <w:color w:val="000000"/>
                <w:sz w:val="20"/>
                <w:szCs w:val="20"/>
              </w:rPr>
              <w:t xml:space="preserve">Competitive Risk: 6/10</w:t>
            </w:r>
            <w:r>
              <w:rPr>
                <w:rFonts w:ascii="Arial" w:cs="Arial" w:eastAsia="Arial" w:hAnsi="Arial"/>
                <w:b w:val="false"/>
                <w:bCs w:val="false"/>
                <w:i w:val="false"/>
                <w:iCs w:val="false"/>
                <w:color w:val="000000"/>
                <w:sz w:val="20"/>
                <w:szCs w:val="20"/>
              </w:rPr>
              <w:t xml:space="preserve">  (revised from 7/10 post UCI IP resolution). Real differentiation on arbitrary geometry automation; patent-backed; OEM relationships provide near-term channel protection.</w:t>
            </w:r>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5.  GO-TO-MARKET STRATEGY</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bCs/>
                <w:i w:val="false"/>
                <w:iCs w:val="false"/>
                <w:color w:val="000000"/>
                <w:sz w:val="20"/>
                <w:szCs w:val="20"/>
              </w:rPr>
              <w:t xml:space="preserve">Channel-first model:</w:t>
            </w:r>
            <w:r>
              <w:rPr>
                <w:rFonts w:ascii="Arial" w:cs="Arial" w:eastAsia="Arial" w:hAnsi="Arial"/>
                <w:b w:val="false"/>
                <w:bCs w:val="false"/>
                <w:i w:val="false"/>
                <w:iCs w:val="false"/>
                <w:color w:val="000000"/>
                <w:sz w:val="20"/>
                <w:szCs w:val="20"/>
              </w:rPr>
              <w:t xml:space="preserve">  Artemis is embedded within AV integrator and media server OEM deployments — an "Intel Inside" approach that scales reach without requiring a large direct salesforce. Two channels are validated: Panasonic (OEM path: calibration engine licensed into Panasonic projector solutions) and NPI-AV (integrator path: bundled into multi-projector installation packages).</w:t>
            </w:r>
          </w:p>
          <w:p>
            <w:pPr>
              <w:spacing w:after="60" w:before="60"/>
              <w:jc w:val="left"/>
            </w:pPr>
            <w:r>
              <w:rPr>
                <w:rFonts w:ascii="Arial" w:cs="Arial" w:eastAsia="Arial" w:hAnsi="Arial"/>
                <w:b/>
                <w:bCs/>
                <w:i w:val="false"/>
                <w:iCs w:val="false"/>
                <w:color w:val="000000"/>
                <w:sz w:val="20"/>
                <w:szCs w:val="20"/>
              </w:rPr>
              <w:t xml:space="preserve">Pricing (confirmed):</w:t>
            </w:r>
            <w:r>
              <w:rPr>
                <w:rFonts w:ascii="Arial" w:cs="Arial" w:eastAsia="Arial" w:hAnsi="Arial"/>
                <w:b w:val="false"/>
                <w:bCs w:val="false"/>
                <w:i w:val="false"/>
                <w:iCs w:val="false"/>
                <w:color w:val="000000"/>
                <w:sz w:val="20"/>
                <w:szCs w:val="20"/>
              </w:rPr>
              <w:t xml:space="preserve">  $10,000 capex (perpetual license per projector) OR $2,600/year SaaS. A 144-projector NPI-AV deployment = $374K capex or ~$375K ARR at SaaS rates.</w:t>
            </w:r>
          </w:p>
          <w:p>
            <w:pPr>
              <w:spacing w:after="60" w:before="60"/>
              <w:jc w:val="left"/>
            </w:pPr>
            <w:r>
              <w:rPr>
                <w:rFonts w:ascii="Arial" w:cs="Arial" w:eastAsia="Arial" w:hAnsi="Arial"/>
                <w:b/>
                <w:bCs/>
                <w:i w:val="false"/>
                <w:iCs w:val="false"/>
                <w:color w:val="000000"/>
                <w:sz w:val="20"/>
                <w:szCs w:val="20"/>
              </w:rPr>
              <w:t xml:space="preserve">GTM Limitation:</w:t>
            </w:r>
            <w:r>
              <w:rPr>
                <w:rFonts w:ascii="Arial" w:cs="Arial" w:eastAsia="Arial" w:hAnsi="Arial"/>
                <w:b w:val="false"/>
                <w:bCs w:val="false"/>
                <w:i w:val="false"/>
                <w:iCs w:val="false"/>
                <w:color w:val="000000"/>
                <w:sz w:val="20"/>
                <w:szCs w:val="20"/>
              </w:rPr>
              <w:t xml:space="preserve">  Dr. Majumder is closing deals personally; no dedicated sales hire yet. Sales lead recruitment is the top priority in bridge capital deployment ($345K / 46% of raise). Enterprise sales cycle: 9–36 months. Market Risk: 6/10.</w:t>
            </w:r>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6.  TEAM</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bCs/>
                <w:i w:val="false"/>
                <w:iCs w:val="false"/>
                <w:color w:val="000000"/>
                <w:sz w:val="20"/>
                <w:szCs w:val="20"/>
                <w:u w:val="single"/>
              </w:rPr>
              <w:t xml:space="preserve">Leadership</w:t>
            </w:r>
          </w:p>
          <w:p>
            <w:pPr>
              <w:spacing w:after="60" w:before="60"/>
              <w:jc w:val="left"/>
            </w:pPr>
            <w:r>
              <w:rPr>
                <w:rFonts w:ascii="Arial" w:cs="Arial" w:eastAsia="Arial" w:hAnsi="Arial"/>
                <w:b/>
                <w:bCs/>
                <w:i w:val="false"/>
                <w:iCs w:val="false"/>
                <w:color w:val="000000"/>
                <w:sz w:val="20"/>
                <w:szCs w:val="20"/>
              </w:rPr>
              <w:t xml:space="preserve">Dr. Aditi Majumder (CEO)</w:t>
            </w:r>
            <w:r>
              <w:rPr>
                <w:rFonts w:ascii="Arial" w:cs="Arial" w:eastAsia="Arial" w:hAnsi="Arial"/>
                <w:b w:val="false"/>
                <w:bCs w:val="false"/>
                <w:i w:val="false"/>
                <w:iCs w:val="false"/>
                <w:color w:val="000000"/>
                <w:sz w:val="20"/>
                <w:szCs w:val="20"/>
              </w:rPr>
              <w:t xml:space="preserve">  —  UCI Computer Science professor and one of the world's foremost authorities in projection calibration. 20+ years of research directly produced the technology in Artemis. Has closed Panasonic and NPI-AV without a sales team — demonstrating commercial capability that is rare for an academic founder. Working without cash compensation.</w:t>
            </w:r>
          </w:p>
          <w:p>
            <w:pPr>
              <w:spacing w:after="60" w:before="60"/>
              <w:jc w:val="left"/>
            </w:pPr>
            <w:r>
              <w:rPr>
                <w:rFonts w:ascii="Arial" w:cs="Arial" w:eastAsia="Arial" w:hAnsi="Arial"/>
                <w:b/>
                <w:bCs/>
                <w:i w:val="false"/>
                <w:iCs w:val="false"/>
                <w:color w:val="000000"/>
                <w:sz w:val="20"/>
                <w:szCs w:val="20"/>
              </w:rPr>
              <w:t xml:space="preserve">COO (Clark)</w:t>
            </w:r>
            <w:r>
              <w:rPr>
                <w:rFonts w:ascii="Arial" w:cs="Arial" w:eastAsia="Arial" w:hAnsi="Arial"/>
                <w:b w:val="false"/>
                <w:bCs w:val="false"/>
                <w:i w:val="false"/>
                <w:iCs w:val="false"/>
                <w:color w:val="000000"/>
                <w:sz w:val="20"/>
                <w:szCs w:val="20"/>
              </w:rPr>
              <w:t xml:space="preserve">  —  Brings operational structure. Limited startup execution experience. No prior track record scaling an early-stage technology company. Working without cash compensation.</w:t>
            </w:r>
          </w:p>
          <w:p>
            <w:pPr>
              <w:spacing w:after="60" w:before="60"/>
              <w:jc w:val="left"/>
            </w:pPr>
            <w:r>
              <w:rPr>
                <w:rFonts w:ascii="Arial" w:cs="Arial" w:eastAsia="Arial" w:hAnsi="Arial"/>
                <w:b/>
                <w:bCs/>
                <w:i w:val="false"/>
                <w:iCs w:val="false"/>
                <w:color w:val="000000"/>
                <w:sz w:val="20"/>
                <w:szCs w:val="20"/>
              </w:rPr>
              <w:t xml:space="preserve">❌  NO CFO, NO CRO.  </w:t>
            </w:r>
            <w:r>
              <w:rPr>
                <w:rFonts w:ascii="Arial" w:cs="Arial" w:eastAsia="Arial" w:hAnsi="Arial"/>
                <w:b w:val="false"/>
                <w:bCs w:val="false"/>
                <w:i w:val="false"/>
                <w:iCs w:val="false"/>
                <w:color w:val="000000"/>
                <w:sz w:val="20"/>
                <w:szCs w:val="20"/>
              </w:rPr>
              <w:t xml:space="preserve">Engineering team relies on Dr. Majumder's research group. Team depth below the founding pair is thin — the bridge capital GTM hire is the first step in building organizational capacity.</w:t>
            </w:r>
          </w:p>
          <w:p>
            <w:pPr>
              <w:spacing w:after="60" w:before="0"/>
            </w:pPr>
            <w:r>
              <w:rPr>
                <w:rFonts w:ascii="Arial" w:cs="Arial" w:eastAsia="Arial" w:hAnsi="Arial"/>
                <w:b w:val="false"/>
                <w:bCs w:val="false"/>
                <w:i w:val="false"/>
                <w:iCs w:val="false"/>
                <w:color w:val="000000"/>
                <w:sz w:val="20"/>
                <w:szCs w:val="20"/>
              </w:rPr>
              <w:t xml:space="preserve"/>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641"/>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Position</w:t>
                  </w:r>
                </w:p>
              </w:tc>
              <w:tc>
                <w:tcPr>
                  <w:tcW w:type="dxa" w:w="301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Name</w:t>
                  </w:r>
                </w:p>
              </w:tc>
              <w:tc>
                <w:tcPr>
                  <w:tcW w:type="dxa" w:w="3773"/>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Assessment</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CEO</w:t>
                  </w:r>
                </w:p>
              </w:tc>
              <w:tc>
                <w:tcPr>
                  <w:tcW w:type="dxa" w:w="301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Dr. Aditi Majumder</w:t>
                  </w:r>
                </w:p>
              </w:tc>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Strong — world-class technical authority; proven commercial closer</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COO</w:t>
                  </w:r>
                </w:p>
              </w:tc>
              <w:tc>
                <w:tcPr>
                  <w:tcW w:type="dxa" w:w="301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Clark</w:t>
                  </w:r>
                </w:p>
              </w:tc>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Mixed — operational structure; zero startup CEO/COO experience</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CFO</w:t>
                  </w:r>
                </w:p>
              </w:tc>
              <w:tc>
                <w:tcPr>
                  <w:tcW w:type="dxa" w:w="301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UNFILLED</w:t>
                  </w:r>
                </w:p>
              </w:tc>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Gap — Series A preparation will require a fractional or full-time CFO</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CRO / Sales Lead</w:t>
                  </w:r>
                </w:p>
              </w:tc>
              <w:tc>
                <w:tcPr>
                  <w:tcW w:type="dxa" w:w="301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RECRUITING</w:t>
                  </w:r>
                </w:p>
              </w:tc>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Bridge capital priority — GTM scale depends on this hire</w:t>
                  </w:r>
                </w:p>
              </w:tc>
            </w:tr>
          </w:tbl>
          <w:p>
            <w:pPr>
              <w:spacing w:after="6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20"/>
                <w:szCs w:val="20"/>
              </w:rPr>
              <w:t xml:space="preserve">Execution Risk: 7/10.  </w:t>
            </w:r>
            <w:r>
              <w:rPr>
                <w:rFonts w:ascii="Arial" w:cs="Arial" w:eastAsia="Arial" w:hAnsi="Arial"/>
                <w:b w:val="false"/>
                <w:bCs w:val="false"/>
                <w:i w:val="false"/>
                <w:iCs w:val="false"/>
                <w:color w:val="000000"/>
                <w:sz w:val="19"/>
                <w:szCs w:val="19"/>
              </w:rPr>
              <w:t xml:space="preserve">Exceptional technical founder; organizational thinness is the near-term risk. Both founders are working without cash compensation — extending runway but unsustainable past the bridge close.</w:t>
            </w:r>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7.  TECHNOLOGY &amp; INTELLECTUAL PROPERTY</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bCs/>
                <w:i w:val="false"/>
                <w:iCs w:val="false"/>
                <w:color w:val="000000"/>
                <w:sz w:val="20"/>
                <w:szCs w:val="20"/>
              </w:rPr>
              <w:t xml:space="preserve">TRL 8–9:</w:t>
            </w:r>
            <w:r>
              <w:rPr>
                <w:rFonts w:ascii="Arial" w:cs="Arial" w:eastAsia="Arial" w:hAnsi="Arial"/>
                <w:b w:val="false"/>
                <w:bCs w:val="false"/>
                <w:i w:val="false"/>
                <w:iCs w:val="false"/>
                <w:color w:val="000000"/>
                <w:sz w:val="20"/>
                <w:szCs w:val="20"/>
              </w:rPr>
              <w:t xml:space="preserve">  Production-deployed across Panasonic (80 projectors) and NPI-AV (144 projectors). Exceeds NWAi minimum TRL 5.</w:t>
            </w:r>
          </w:p>
          <w:p>
            <w:pPr>
              <w:spacing w:after="60" w:before="60"/>
              <w:jc w:val="left"/>
            </w:pPr>
            <w:r>
              <w:rPr>
                <w:rFonts w:ascii="Arial" w:cs="Arial" w:eastAsia="Arial" w:hAnsi="Arial"/>
                <w:b/>
                <w:bCs/>
                <w:i w:val="false"/>
                <w:iCs w:val="false"/>
                <w:color w:val="000000"/>
                <w:sz w:val="20"/>
                <w:szCs w:val="20"/>
              </w:rPr>
              <w:t xml:space="preserve">IP Status (confirmed — NWA Answers PDF):</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830"/>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IP Item</w:t>
                  </w:r>
                </w:p>
              </w:tc>
              <w:tc>
                <w:tcPr>
                  <w:tcW w:type="dxa" w:w="169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Status</w:t>
                  </w:r>
                </w:p>
              </w:tc>
              <w:tc>
                <w:tcPr>
                  <w:tcW w:type="dxa" w:w="4905"/>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Detail</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USPTO Patents</w:t>
                  </w:r>
                </w:p>
              </w:tc>
              <w:tc>
                <w:tcPr>
                  <w:tcW w:type="dxa" w:w="169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 active</w:t>
                  </w:r>
                </w:p>
              </w:tc>
              <w:tc>
                <w:tcPr>
                  <w:tcW w:type="dxa" w:w="490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Exclusive perpetual license from UCI — change of control transfer as-is</w:t>
                  </w:r>
                </w:p>
              </w:tc>
            </w:tr>
            <w:tr>
              <w:tc>
                <w:tcPr>
                  <w:tcW w:type="dxa" w:w="2830"/>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License Type</w:t>
                  </w:r>
                </w:p>
              </w:tc>
              <w:tc>
                <w:tcPr>
                  <w:tcW w:type="dxa" w:w="169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Perpetual exclusive</w:t>
                  </w:r>
                </w:p>
              </w:tc>
              <w:tc>
                <w:tcPr>
                  <w:tcW w:type="dxa" w:w="4905"/>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2.5% combined royalty (operating cost, not equity)</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Change of Control</w:t>
                  </w:r>
                </w:p>
              </w:tc>
              <w:tc>
                <w:tcPr>
                  <w:tcW w:type="dxa" w:w="169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Clean</w:t>
                  </w:r>
                </w:p>
              </w:tc>
              <w:tc>
                <w:tcPr>
                  <w:tcW w:type="dxa" w:w="490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License transfers without UCI approval required</w:t>
                  </w:r>
                </w:p>
              </w:tc>
            </w:tr>
            <w:tr>
              <w:tc>
                <w:tcPr>
                  <w:tcW w:type="dxa" w:w="2830"/>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Renegotiation Language</w:t>
                  </w:r>
                </w:p>
              </w:tc>
              <w:tc>
                <w:tcPr>
                  <w:tcW w:type="dxa" w:w="1698"/>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Minor flag</w:t>
                  </w:r>
                </w:p>
              </w:tc>
              <w:tc>
                <w:tcPr>
                  <w:tcW w:type="dxa" w:w="4905"/>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'Unless new owner wishes to renegotiate' — legal review recommended</w:t>
                  </w:r>
                </w:p>
              </w:tc>
            </w:tr>
          </w:tbl>
          <w:p>
            <w:pPr>
              <w:spacing w:after="6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20"/>
                <w:szCs w:val="20"/>
              </w:rPr>
              <w:t xml:space="preserve">Technical Risk: 4/10 — lowest risk dimension in this deal.  </w:t>
            </w:r>
            <w:r>
              <w:rPr>
                <w:rFonts w:ascii="Arial" w:cs="Arial" w:eastAsia="Arial" w:hAnsi="Arial"/>
                <w:b w:val="false"/>
                <w:bCs w:val="false"/>
                <w:i w:val="false"/>
                <w:iCs w:val="false"/>
                <w:color w:val="000000"/>
                <w:sz w:val="19"/>
                <w:szCs w:val="19"/>
              </w:rPr>
              <w:t xml:space="preserve">Technology is mature, OEM-validated, and patent-protected. R&amp;D roadmap includes LED edge-blending and surface monitoring tools (early stage). UCI IP downgraded from ❌ Gate-Critical to ⚠ Minor Yellow Flag following NWA Answers PDF confirmation.</w:t>
            </w:r>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8.  DEAL STRUCTURE &amp; CAP TABLE</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641"/>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Item</w:t>
                  </w:r>
                </w:p>
              </w:tc>
              <w:tc>
                <w:tcPr>
                  <w:tcW w:type="dxa" w:w="3773"/>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Detail</w:t>
                  </w:r>
                </w:p>
              </w:tc>
              <w:tc>
                <w:tcPr>
                  <w:tcW w:type="dxa" w:w="301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NWAi Gate Status</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Legal structure</w:t>
                  </w:r>
                </w:p>
              </w:tc>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Summit Technology Laboratory (C-Corp)</w:t>
                  </w:r>
                </w:p>
              </w:tc>
              <w:tc>
                <w:tcPr>
                  <w:tcW w:type="dxa" w:w="301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PASS — C-Corp confirmed</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Current instrument</w:t>
                  </w:r>
                </w:p>
              </w:tc>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Convertible Note (Bridge)</w:t>
                  </w:r>
                </w:p>
              </w:tc>
              <w:tc>
                <w:tcPr>
                  <w:tcW w:type="dxa" w:w="301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PASS — Convertible debt acceptable per NWAi policy</w:t>
                  </w:r>
                </w:p>
              </w:tc>
            </w:tr>
            <w:tr>
              <w:tc>
                <w:tcPr>
                  <w:tcW w:type="dxa" w:w="2641"/>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Liquidation preference</w:t>
                  </w:r>
                </w:p>
              </w:tc>
              <w:tc>
                <w:tcPr>
                  <w:tcW w:type="dxa" w:w="3773"/>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1.5× (non-standard)</w:t>
                  </w:r>
                </w:p>
              </w:tc>
              <w:tc>
                <w:tcPr>
                  <w:tcW w:type="dxa" w:w="3018"/>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Require legal review — standard notes carry no liq. pref.</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Raise</w:t>
                  </w:r>
                </w:p>
              </w:tc>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$750K bridge</w:t>
                  </w:r>
                </w:p>
              </w:tc>
              <w:tc>
                <w:tcPr>
                  <w:tcW w:type="dxa" w:w="301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Lead investor</w:t>
                  </w:r>
                </w:p>
              </w:tc>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Golden Seeds</w:t>
                  </w:r>
                </w:p>
              </w:tc>
              <w:tc>
                <w:tcPr>
                  <w:tcW w:type="dxa" w:w="301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PASS — Established angel group with deep-tech track record</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UCI royalty</w:t>
                  </w:r>
                </w:p>
              </w:tc>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2.5% combined (2 patents)</w:t>
                  </w:r>
                </w:p>
              </w:tc>
              <w:tc>
                <w:tcPr>
                  <w:tcW w:type="dxa" w:w="301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Operating obligation — not a cap table equity position</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Cap table</w:t>
                  </w:r>
                </w:p>
              </w:tc>
              <w:tc>
                <w:tcPr>
                  <w:tcW w:type="dxa" w:w="3773"/>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January 2026 snapshot available</w:t>
                  </w:r>
                </w:p>
              </w:tc>
              <w:tc>
                <w:tcPr>
                  <w:tcW w:type="dxa" w:w="301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  Confirm no undisclosed obligations or warrants</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NWAi check size</w:t>
                  </w:r>
                </w:p>
              </w:tc>
              <w:tc>
                <w:tcPr>
                  <w:tcW w:type="dxa" w:w="3773"/>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301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  TWO HARD GATE PASSES: C-Corp confirmed; convertible note acceptable. No SAFE. Named lead (Golden Seeds) confirmed.</w:t>
            </w:r>
          </w:p>
          <w:p>
            <w:pPr>
              <w:spacing w:after="60" w:before="60"/>
              <w:jc w:val="left"/>
            </w:pPr>
            <w:r>
              <w:rPr>
                <w:rFonts w:ascii="Arial" w:cs="Arial" w:eastAsia="Arial" w:hAnsi="Arial"/>
                <w:b w:val="false"/>
                <w:bCs w:val="false"/>
                <w:i/>
                <w:iCs/>
                <w:color w:val="000000"/>
                <w:sz w:val="19"/>
                <w:szCs w:val="19"/>
              </w:rPr>
              <w:t xml:space="preserve">⚠  ONE TERM REQUIRES NEGOTIATION: 1.5× liquidation preference is non-standard for a convertible note. NWAi should request removal or reduction to 1.0× as a condition of closing.</w:t>
            </w:r>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9.  FINANCIALS</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830"/>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Metric</w:t>
                  </w:r>
                </w:p>
              </w:tc>
              <w:tc>
                <w:tcPr>
                  <w:tcW w:type="dxa" w:w="2641"/>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Value</w:t>
                  </w:r>
                </w:p>
              </w:tc>
              <w:tc>
                <w:tcPr>
                  <w:tcW w:type="dxa" w:w="3961"/>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Note</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Cash on hand</w:t>
                  </w:r>
                </w:p>
              </w:tc>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$250K</w:t>
                  </w:r>
                </w:p>
              </w:tc>
              <w:tc>
                <w:tcPr>
                  <w:tcW w:type="dxa" w:w="396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As of NWA Answers PDF (early 2026)</w:t>
                  </w:r>
                </w:p>
              </w:tc>
            </w:tr>
            <w:tr>
              <w:tc>
                <w:tcPr>
                  <w:tcW w:type="dxa" w:w="2830"/>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Gross burn</w:t>
                  </w:r>
                </w:p>
              </w:tc>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$92K/month</w:t>
                  </w:r>
                </w:p>
              </w:tc>
              <w:tc>
                <w:tcPr>
                  <w:tcW w:type="dxa" w:w="396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CEO + COO working without cash comp — burn is compressed</w:t>
                  </w:r>
                </w:p>
              </w:tc>
            </w:tr>
            <w:tr>
              <w:tc>
                <w:tcPr>
                  <w:tcW w:type="dxa" w:w="2830"/>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Runway</w:t>
                  </w:r>
                </w:p>
              </w:tc>
              <w:tc>
                <w:tcPr>
                  <w:tcW w:type="dxa" w:w="2641"/>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 months</w:t>
                  </w:r>
                </w:p>
              </w:tc>
              <w:tc>
                <w:tcPr>
                  <w:tcW w:type="dxa" w:w="3961"/>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Bridge close by April 30 is survival-critical</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Pricing (confirmed)</w:t>
                  </w:r>
                </w:p>
              </w:tc>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$10K capex OR $2,600/yr SaaS</w:t>
                  </w:r>
                </w:p>
              </w:tc>
              <w:tc>
                <w:tcPr>
                  <w:tcW w:type="dxa" w:w="396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Per projector — both paths at commercial terms</w:t>
                  </w:r>
                </w:p>
              </w:tc>
            </w:tr>
            <w:tr>
              <w:tc>
                <w:tcPr>
                  <w:tcW w:type="dxa" w:w="2830"/>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ARR composition</w:t>
                  </w:r>
                </w:p>
              </w:tc>
              <w:tc>
                <w:tcPr>
                  <w:tcW w:type="dxa" w:w="2641"/>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3961"/>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SaaS vs. one-time capex split required before IC</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Gross margin (estimated)</w:t>
                  </w:r>
                </w:p>
              </w:tc>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80–85%</w:t>
                  </w:r>
                </w:p>
              </w:tc>
              <w:tc>
                <w:tcPr>
                  <w:tcW w:type="dxa" w:w="396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Software licensing model; implementation is variable cost</w:t>
                  </w:r>
                </w:p>
              </w:tc>
            </w:tr>
            <w:tr>
              <w:tc>
                <w:tcPr>
                  <w:tcW w:type="dxa" w:w="2830"/>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LTV:CAC</w:t>
                  </w:r>
                </w:p>
              </w:tc>
              <w:tc>
                <w:tcPr>
                  <w:tcW w:type="dxa" w:w="2641"/>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3961"/>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CAC not formally calculated; enterprise cycle is 9–36 months</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19"/>
                <w:szCs w:val="19"/>
              </w:rPr>
              <w:t xml:space="preserve">Use of Capital — $750K Bridge:</w:t>
            </w:r>
          </w:p>
          <w:p>
            <w:pPr>
              <w:spacing w:after="40" w:before="40"/>
              <w:ind w:left="240"/>
              <w:jc w:val="left"/>
            </w:pPr>
            <w:r>
              <w:rPr>
                <w:rFonts w:ascii="Arial" w:cs="Arial" w:eastAsia="Arial" w:hAnsi="Arial"/>
                <w:b/>
                <w:bCs/>
                <w:i w:val="false"/>
                <w:iCs w:val="false"/>
                <w:color w:val="000000"/>
                <w:sz w:val="20"/>
                <w:szCs w:val="20"/>
              </w:rPr>
              <w:t xml:space="preserve">•  GTM Hiring &amp; Marketing: $345K (46%)  </w:t>
            </w:r>
            <w:r>
              <w:rPr>
                <w:rFonts w:ascii="Arial" w:cs="Arial" w:eastAsia="Arial" w:hAnsi="Arial"/>
                <w:b w:val="false"/>
                <w:bCs w:val="false"/>
                <w:i w:val="false"/>
                <w:iCs w:val="false"/>
                <w:color w:val="000000"/>
                <w:sz w:val="20"/>
                <w:szCs w:val="20"/>
              </w:rPr>
              <w:t xml:space="preserve">— Sales lead hire + channel marketing; top priority given current constraint is pipeline velocity, not product readiness</w:t>
            </w:r>
          </w:p>
          <w:p>
            <w:pPr>
              <w:spacing w:after="40" w:before="40"/>
              <w:ind w:left="240"/>
              <w:jc w:val="left"/>
            </w:pPr>
            <w:r>
              <w:rPr>
                <w:rFonts w:ascii="Arial" w:cs="Arial" w:eastAsia="Arial" w:hAnsi="Arial"/>
                <w:b/>
                <w:bCs/>
                <w:i w:val="false"/>
                <w:iCs w:val="false"/>
                <w:color w:val="000000"/>
                <w:sz w:val="20"/>
                <w:szCs w:val="20"/>
              </w:rPr>
              <w:t xml:space="preserve">•  R&amp;D: $315K (42%)  </w:t>
            </w:r>
            <w:r>
              <w:rPr>
                <w:rFonts w:ascii="Arial" w:cs="Arial" w:eastAsia="Arial" w:hAnsi="Arial"/>
                <w:b w:val="false"/>
                <w:bCs w:val="false"/>
                <w:i w:val="false"/>
                <w:iCs w:val="false"/>
                <w:color w:val="000000"/>
                <w:sz w:val="20"/>
                <w:szCs w:val="20"/>
              </w:rPr>
              <w:t xml:space="preserve">— Artemis platform enhancements, LED edge-blending R&amp;D, system monitoring tools</w:t>
            </w:r>
          </w:p>
          <w:p>
            <w:pPr>
              <w:spacing w:after="40" w:before="40"/>
              <w:ind w:left="240"/>
              <w:jc w:val="left"/>
            </w:pPr>
            <w:r>
              <w:rPr>
                <w:rFonts w:ascii="Arial" w:cs="Arial" w:eastAsia="Arial" w:hAnsi="Arial"/>
                <w:b/>
                <w:bCs/>
                <w:i w:val="false"/>
                <w:iCs w:val="false"/>
                <w:color w:val="000000"/>
                <w:sz w:val="20"/>
                <w:szCs w:val="20"/>
              </w:rPr>
              <w:t xml:space="preserve">•  G&amp;A: $90K (12%)  </w:t>
            </w:r>
            <w:r>
              <w:rPr>
                <w:rFonts w:ascii="Arial" w:cs="Arial" w:eastAsia="Arial" w:hAnsi="Arial"/>
                <w:b w:val="false"/>
                <w:bCs w:val="false"/>
                <w:i w:val="false"/>
                <w:iCs w:val="false"/>
                <w:color w:val="000000"/>
                <w:sz w:val="20"/>
                <w:szCs w:val="20"/>
              </w:rPr>
              <w:t xml:space="preserve">— Legal, admin, accounting, working capital</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19"/>
                <w:szCs w:val="19"/>
              </w:rPr>
              <w:t xml:space="preserve">NWAi Pro Forma (Revenue — not company projections):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gridCol w:w="100"/>
              <w:gridCol w:w="100"/>
              <w:gridCol w:w="100"/>
            </w:tblGrid>
            <w:tr>
              <w:trPr>
                <w:tblHeader/>
              </w:trPr>
              <w:tc>
                <w:tcPr>
                  <w:tcW w:type="dxa" w:w="169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Scenario</w:t>
                  </w:r>
                </w:p>
              </w:tc>
              <w:tc>
                <w:tcPr>
                  <w:tcW w:type="dxa" w:w="1556"/>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2026</w:t>
                  </w:r>
                </w:p>
              </w:tc>
              <w:tc>
                <w:tcPr>
                  <w:tcW w:type="dxa" w:w="1556"/>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2027</w:t>
                  </w:r>
                </w:p>
              </w:tc>
              <w:tc>
                <w:tcPr>
                  <w:tcW w:type="dxa" w:w="1556"/>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2028</w:t>
                  </w:r>
                </w:p>
              </w:tc>
              <w:tc>
                <w:tcPr>
                  <w:tcW w:type="dxa" w:w="152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2029</w:t>
                  </w:r>
                </w:p>
              </w:tc>
              <w:tc>
                <w:tcPr>
                  <w:tcW w:type="dxa" w:w="1537"/>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2030</w:t>
                  </w:r>
                </w:p>
              </w:tc>
            </w:tr>
            <w:tr>
              <w:tc>
                <w:tcPr>
                  <w:tcW w:type="dxa" w:w="169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Bear Revenue</w:t>
                  </w:r>
                </w:p>
              </w:tc>
              <w:tc>
                <w:tcPr>
                  <w:tcW w:type="dxa" w:w="15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$800K</w:t>
                  </w:r>
                </w:p>
              </w:tc>
              <w:tc>
                <w:tcPr>
                  <w:tcW w:type="dxa" w:w="15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$1.2M</w:t>
                  </w:r>
                </w:p>
              </w:tc>
              <w:tc>
                <w:tcPr>
                  <w:tcW w:type="dxa" w:w="1556"/>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$1.6M</w:t>
                  </w:r>
                </w:p>
              </w:tc>
              <w:tc>
                <w:tcPr>
                  <w:tcW w:type="dxa" w:w="152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$1.9M</w:t>
                  </w:r>
                </w:p>
              </w:tc>
              <w:tc>
                <w:tcPr>
                  <w:tcW w:type="dxa" w:w="1537"/>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$2.2M</w:t>
                  </w:r>
                </w:p>
              </w:tc>
            </w:tr>
            <w:tr>
              <w:tc>
                <w:tcPr>
                  <w:tcW w:type="dxa" w:w="169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Bear EBITDA</w:t>
                  </w:r>
                </w:p>
              </w:tc>
              <w:tc>
                <w:tcPr>
                  <w:tcW w:type="dxa" w:w="15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($420K)</w:t>
                  </w:r>
                </w:p>
              </w:tc>
              <w:tc>
                <w:tcPr>
                  <w:tcW w:type="dxa" w:w="15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($280K)</w:t>
                  </w:r>
                </w:p>
              </w:tc>
              <w:tc>
                <w:tcPr>
                  <w:tcW w:type="dxa" w:w="1556"/>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($150K)</w:t>
                  </w:r>
                </w:p>
              </w:tc>
              <w:tc>
                <w:tcPr>
                  <w:tcW w:type="dxa" w:w="152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($60K)</w:t>
                  </w:r>
                </w:p>
              </w:tc>
              <w:tc>
                <w:tcPr>
                  <w:tcW w:type="dxa" w:w="1537"/>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$80K</w:t>
                  </w:r>
                </w:p>
              </w:tc>
            </w:tr>
            <w:tr>
              <w:tc>
                <w:tcPr>
                  <w:tcW w:type="dxa" w:w="1698"/>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Base Revenue</w:t>
                  </w:r>
                </w:p>
              </w:tc>
              <w:tc>
                <w:tcPr>
                  <w:tcW w:type="dxa" w:w="1556"/>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$1.1M</w:t>
                  </w:r>
                </w:p>
              </w:tc>
              <w:tc>
                <w:tcPr>
                  <w:tcW w:type="dxa" w:w="1556"/>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$2.1M</w:t>
                  </w:r>
                </w:p>
              </w:tc>
              <w:tc>
                <w:tcPr>
                  <w:tcW w:type="dxa" w:w="1556"/>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$3.8M</w:t>
                  </w:r>
                </w:p>
              </w:tc>
              <w:tc>
                <w:tcPr>
                  <w:tcW w:type="dxa" w:w="1528"/>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$5.9M</w:t>
                  </w:r>
                </w:p>
              </w:tc>
              <w:tc>
                <w:tcPr>
                  <w:tcW w:type="dxa" w:w="1537"/>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$8.5M</w:t>
                  </w:r>
                </w:p>
              </w:tc>
            </w:tr>
            <w:tr>
              <w:tc>
                <w:tcPr>
                  <w:tcW w:type="dxa" w:w="1698"/>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Base EBITDA</w:t>
                  </w:r>
                </w:p>
              </w:tc>
              <w:tc>
                <w:tcPr>
                  <w:tcW w:type="dxa" w:w="1556"/>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($390K)</w:t>
                  </w:r>
                </w:p>
              </w:tc>
              <w:tc>
                <w:tcPr>
                  <w:tcW w:type="dxa" w:w="1556"/>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($180K)</w:t>
                  </w:r>
                </w:p>
              </w:tc>
              <w:tc>
                <w:tcPr>
                  <w:tcW w:type="dxa" w:w="1556"/>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$200K</w:t>
                  </w:r>
                </w:p>
              </w:tc>
              <w:tc>
                <w:tcPr>
                  <w:tcW w:type="dxa" w:w="1528"/>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$1.1M</w:t>
                  </w:r>
                </w:p>
              </w:tc>
              <w:tc>
                <w:tcPr>
                  <w:tcW w:type="dxa" w:w="1537"/>
                  <w:shd w:fill="D5E8F0"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$2.6M</w:t>
                  </w:r>
                </w:p>
              </w:tc>
            </w:tr>
            <w:tr>
              <w:tc>
                <w:tcPr>
                  <w:tcW w:type="dxa" w:w="1698"/>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Bull Revenue</w:t>
                  </w:r>
                </w:p>
              </w:tc>
              <w:tc>
                <w:tcPr>
                  <w:tcW w:type="dxa" w:w="1556"/>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$1.5M</w:t>
                  </w:r>
                </w:p>
              </w:tc>
              <w:tc>
                <w:tcPr>
                  <w:tcW w:type="dxa" w:w="1556"/>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$3.8M</w:t>
                  </w:r>
                </w:p>
              </w:tc>
              <w:tc>
                <w:tcPr>
                  <w:tcW w:type="dxa" w:w="1556"/>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$8.4M</w:t>
                  </w:r>
                </w:p>
              </w:tc>
              <w:tc>
                <w:tcPr>
                  <w:tcW w:type="dxa" w:w="1528"/>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$16.5M</w:t>
                  </w:r>
                </w:p>
              </w:tc>
              <w:tc>
                <w:tcPr>
                  <w:tcW w:type="dxa" w:w="1537"/>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$28.0M</w:t>
                  </w:r>
                </w:p>
              </w:tc>
            </w:tr>
            <w:tr>
              <w:tc>
                <w:tcPr>
                  <w:tcW w:type="dxa" w:w="1698"/>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Bull EBITDA</w:t>
                  </w:r>
                </w:p>
              </w:tc>
              <w:tc>
                <w:tcPr>
                  <w:tcW w:type="dxa" w:w="1556"/>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($340K)</w:t>
                  </w:r>
                </w:p>
              </w:tc>
              <w:tc>
                <w:tcPr>
                  <w:tcW w:type="dxa" w:w="1556"/>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$180K</w:t>
                  </w:r>
                </w:p>
              </w:tc>
              <w:tc>
                <w:tcPr>
                  <w:tcW w:type="dxa" w:w="1556"/>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$1.7M</w:t>
                  </w:r>
                </w:p>
              </w:tc>
              <w:tc>
                <w:tcPr>
                  <w:tcW w:type="dxa" w:w="1528"/>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$5.3M</w:t>
                  </w:r>
                </w:p>
              </w:tc>
              <w:tc>
                <w:tcPr>
                  <w:tcW w:type="dxa" w:w="1537"/>
                  <w:shd w:fill="E8F5E9"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$11.2M</w:t>
                  </w:r>
                </w:p>
              </w:tc>
            </w:tr>
          </w:tbl>
          <w:p>
            <w:pPr>
              <w:spacing w:after="6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20"/>
                <w:szCs w:val="20"/>
              </w:rPr>
              <w:t xml:space="preserve">10x return viability:  </w:t>
            </w:r>
            <w:r>
              <w:rPr>
                <w:rFonts w:ascii="Arial" w:cs="Arial" w:eastAsia="Arial" w:hAnsi="Arial"/>
                <w:b w:val="false"/>
                <w:bCs w:val="false"/>
                <w:i w:val="false"/>
                <w:iCs w:val="false"/>
                <w:color w:val="000000"/>
                <w:sz w:val="19"/>
                <w:szCs w:val="19"/>
              </w:rPr>
              <w:t xml:space="preserve">CONDITIONAL. Base case $8.5M × 6× = $51M does not support 10x. Bull case $28M × 6× = $168M hits target. Investment thesis depends on OEM channel scale-up reaching 3+ media server partners by 2028.</w:t>
            </w:r>
          </w:p>
          <w:p>
            <w:pPr>
              <w:spacing w:after="60" w:before="60"/>
              <w:jc w:val="left"/>
            </w:pPr>
            <w:r>
              <w:rPr>
                <w:rFonts w:ascii="Arial" w:cs="Arial" w:eastAsia="Arial" w:hAnsi="Arial"/>
                <w:b/>
                <w:bCs/>
                <w:i w:val="false"/>
                <w:iCs w:val="false"/>
                <w:color w:val="CC0000"/>
                <w:sz w:val="20"/>
                <w:szCs w:val="20"/>
              </w:rPr>
              <w:t xml:space="preserve">Financial Risk: 8/10 — critical.</w:t>
            </w:r>
            <w:r>
              <w:rPr>
                <w:rFonts w:ascii="Arial" w:cs="Arial" w:eastAsia="Arial" w:hAnsi="Arial"/>
                <w:b w:val="false"/>
                <w:bCs w:val="false"/>
                <w:i w:val="false"/>
                <w:iCs w:val="false"/>
                <w:color w:val="000000"/>
                <w:sz w:val="19"/>
                <w:szCs w:val="19"/>
              </w:rPr>
              <w:t xml:space="preserve">  3-month runway is existential; bridge close by April 30 is non-negotiable.</w:t>
            </w:r>
          </w:p>
        </w:tc>
        <w:tc>
          <w:tcPr>
            <w:tcW w:type="dxa" w:w="1080"/>
            <w:shd w:fill="C00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48"/>
                <w:szCs w:val="48"/>
              </w:rPr>
              <w:t xml:space="preserve">2</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10.  RISK  (5 = lowest risk / best  |  1 = highest risk / worst)</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val="false"/>
                <w:bCs w:val="false"/>
                <w:i w:val="false"/>
                <w:iCs w:val="false"/>
                <w:color w:val="000000"/>
                <w:sz w:val="20"/>
                <w:szCs w:val="20"/>
              </w:rPr>
              <w:t xml:space="preserve">The three most significant risks: Financial (runway is existential), Execution (thin team at a pivotal scaling inflection), and Competitive (well-resourced incumbents with distribution advantages). Technical risk is the lowest dimension — the technology is mature, deployed, and independently validated. Overall risk average 6.2/10 maps to Score 3 (inverted). No single risk scores 10; no two scores reach 9+. Does not trigger deal-breaker flag. Financial risk at 8/10 is critical and must be resolved before capital deployment.</w:t>
            </w:r>
          </w:p>
          <w:p>
            <w:pPr>
              <w:spacing w:after="60" w:before="0"/>
            </w:pPr>
            <w:r>
              <w:rPr>
                <w:rFonts w:ascii="Arial" w:cs="Arial" w:eastAsia="Arial" w:hAnsi="Arial"/>
                <w:b w:val="false"/>
                <w:bCs w:val="false"/>
                <w:i w:val="false"/>
                <w:iCs w:val="false"/>
                <w:color w:val="000000"/>
                <w:sz w:val="20"/>
                <w:szCs w:val="20"/>
              </w:rPr>
              <w:t xml:space="preserve"/>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830"/>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Risk</w:t>
                  </w:r>
                </w:p>
              </w:tc>
              <w:tc>
                <w:tcPr>
                  <w:tcW w:type="dxa" w:w="1320"/>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Severity</w:t>
                  </w:r>
                </w:p>
              </w:tc>
              <w:tc>
                <w:tcPr>
                  <w:tcW w:type="dxa" w:w="528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Mitigant / Action Required</w:t>
                  </w:r>
                </w:p>
              </w:tc>
            </w:tr>
            <w:tr>
              <w:tc>
                <w:tcPr>
                  <w:tcW w:type="dxa" w:w="2830"/>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3-month runway (bridge not closed)</w:t>
                  </w:r>
                </w:p>
              </w:tc>
              <w:tc>
                <w:tcPr>
                  <w:tcW w:type="dxa" w:w="1320"/>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 ❌</w:t>
                  </w:r>
                </w:p>
              </w:tc>
              <w:tc>
                <w:tcPr>
                  <w:tcW w:type="dxa" w:w="5282"/>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Bridge must close by April 30 — track weekly; IC investment is contingent on close</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ARR composition unconfirmed</w:t>
                  </w:r>
                </w:p>
              </w:tc>
              <w:tc>
                <w:tcPr>
                  <w:tcW w:type="dxa" w:w="132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 ❌</w:t>
                  </w:r>
                </w:p>
              </w:tc>
              <w:tc>
                <w:tcPr>
                  <w:tcW w:type="dxa" w:w="528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Confirm SaaS vs. capex revenue split (≥40% recurring required before IC deployment)</w:t>
                  </w:r>
                </w:p>
              </w:tc>
            </w:tr>
            <w:tr>
              <w:tc>
                <w:tcPr>
                  <w:tcW w:type="dxa" w:w="2830"/>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No GTM sales hire</w:t>
                  </w:r>
                </w:p>
              </w:tc>
              <w:tc>
                <w:tcPr>
                  <w:tcW w:type="dxa" w:w="1320"/>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 ❌</w:t>
                  </w:r>
                </w:p>
              </w:tc>
              <w:tc>
                <w:tcPr>
                  <w:tcW w:type="dxa" w:w="5282"/>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Bridge capital priority — track hiring timeline; pipeline depends on this hire</w:t>
                  </w:r>
                </w:p>
              </w:tc>
            </w:tr>
            <w:tr>
              <w:tc>
                <w:tcPr>
                  <w:tcW w:type="dxa" w:w="2830"/>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Thin team below founding pair</w:t>
                  </w:r>
                </w:p>
              </w:tc>
              <w:tc>
                <w:tcPr>
                  <w:tcW w:type="dxa" w:w="1320"/>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 ⚠</w:t>
                  </w:r>
                </w:p>
              </w:tc>
              <w:tc>
                <w:tcPr>
                  <w:tcW w:type="dxa" w:w="5282"/>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Bridge GTM hire is step 1; Series A requires CFO and sales leadership</w:t>
                  </w:r>
                </w:p>
              </w:tc>
            </w:tr>
            <w:tr>
              <w:tc>
                <w:tcPr>
                  <w:tcW w:type="dxa" w:w="283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Incumbent competitive response</w:t>
                  </w:r>
                </w:p>
              </w:tc>
              <w:tc>
                <w:tcPr>
                  <w:tcW w:type="dxa" w:w="1320"/>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LOW ⚠</w:t>
                  </w:r>
                </w:p>
              </w:tc>
              <w:tc>
                <w:tcPr>
                  <w:tcW w:type="dxa" w:w="528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OEM partnerships provide near-term cover; data flywheel is the long-term moat answer</w:t>
                  </w:r>
                </w:p>
              </w:tc>
            </w:tr>
          </w:tbl>
          <w:p>
            <w:pPr>
              <w:spacing w:after="80" w:before="0"/>
            </w:pPr>
            <w:r>
              <w:rPr>
                <w:rFonts w:ascii="Arial" w:cs="Arial" w:eastAsia="Arial" w:hAnsi="Arial"/>
                <w:b w:val="false"/>
                <w:bCs w:val="false"/>
                <w:i w:val="false"/>
                <w:iCs w:val="false"/>
                <w:color w:val="000000"/>
                <w:sz w:val="20"/>
                <w:szCs w:val="20"/>
              </w:rPr>
              <w:t xml:space="preserve"/>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641"/>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Risk Category</w:t>
                  </w:r>
                </w:p>
              </w:tc>
              <w:tc>
                <w:tcPr>
                  <w:tcW w:type="dxa" w:w="1509"/>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Score (1–10)</w:t>
                  </w:r>
                </w:p>
              </w:tc>
              <w:tc>
                <w:tcPr>
                  <w:tcW w:type="dxa" w:w="528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Key Concern</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Execution</w:t>
                  </w:r>
                </w:p>
              </w:tc>
              <w:tc>
                <w:tcPr>
                  <w:tcW w:type="dxa" w:w="1509"/>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7</w:t>
                  </w:r>
                </w:p>
              </w:tc>
              <w:tc>
                <w:tcPr>
                  <w:tcW w:type="dxa" w:w="528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Thin team below founders; COO has no startup track record</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Market</w:t>
                  </w:r>
                </w:p>
              </w:tc>
              <w:tc>
                <w:tcPr>
                  <w:tcW w:type="dxa" w:w="1509"/>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6</w:t>
                  </w:r>
                </w:p>
              </w:tc>
              <w:tc>
                <w:tcPr>
                  <w:tcW w:type="dxa" w:w="528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9–36 month enterprise sales cycle; channel GTM not yet repeatable at scale</w:t>
                  </w:r>
                </w:p>
              </w:tc>
            </w:tr>
            <w:tr>
              <w:tc>
                <w:tcPr>
                  <w:tcW w:type="dxa" w:w="2641"/>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Financial</w:t>
                  </w:r>
                </w:p>
              </w:tc>
              <w:tc>
                <w:tcPr>
                  <w:tcW w:type="dxa" w:w="1509"/>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  ⚠  CRITICAL</w:t>
                  </w:r>
                </w:p>
              </w:tc>
              <w:tc>
                <w:tcPr>
                  <w:tcW w:type="dxa" w:w="5282"/>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3 months runway; bridge close is survival dependency; ARR mix unconfirmed</w:t>
                  </w:r>
                </w:p>
              </w:tc>
            </w:tr>
            <w:tr>
              <w:tc>
                <w:tcPr>
                  <w:tcW w:type="dxa" w:w="2641"/>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Technical</w:t>
                  </w:r>
                </w:p>
              </w:tc>
              <w:tc>
                <w:tcPr>
                  <w:tcW w:type="dxa" w:w="1509"/>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4</w:t>
                  </w:r>
                </w:p>
              </w:tc>
              <w:tc>
                <w:tcPr>
                  <w:tcW w:type="dxa" w:w="528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TRL 8–9; 2 active UCI patents; Panasonic-validated — lowest risk dimension</w:t>
                  </w:r>
                </w:p>
              </w:tc>
            </w:tr>
            <w:tr>
              <w:tc>
                <w:tcPr>
                  <w:tcW w:type="dxa" w:w="2641"/>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Competitive</w:t>
                  </w:r>
                </w:p>
              </w:tc>
              <w:tc>
                <w:tcPr>
                  <w:tcW w:type="dxa" w:w="1509"/>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6</w:t>
                  </w:r>
                </w:p>
              </w:tc>
              <w:tc>
                <w:tcPr>
                  <w:tcW w:type="dxa" w:w="528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Well-resourced incumbents; OEM partnerships provide near-term defensive cover</w:t>
                  </w:r>
                </w:p>
              </w:tc>
            </w:tr>
          </w:tbl>
          <w:p>
            <w:pPr>
              <w:spacing w:after="6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19"/>
                <w:szCs w:val="19"/>
              </w:rPr>
              <w:t xml:space="preserve">Average Risk Score: 6.2/10  |  Critical (≥8): Financial only</w:t>
            </w:r>
          </w:p>
        </w:tc>
        <w:tc>
          <w:tcPr>
            <w:tcW w:type="dxa" w:w="1080"/>
            <w:shd w:fill="FFC000"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1F1F1F"/>
                <w:sz w:val="48"/>
                <w:szCs w:val="48"/>
              </w:rPr>
              <w:t xml:space="preserve">3</w:t>
            </w:r>
          </w:p>
        </w:tc>
      </w:tr>
    </w:tbl>
    <w:p>
      <w:pPr>
        <w:spacing w:after="10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tblGrid>
      <w:tr>
        <w:tc>
          <w:tcPr>
            <w:tcW w:type="dxa" w:w="9432"/>
            <w:shd w:fill="1F3864" w:val="clear"/>
            <w:tcMar>
              <w:top w:type="dxa" w:w="120"/>
              <w:left w:type="dxa" w:w="160"/>
              <w:bottom w:type="dxa" w:w="120"/>
              <w:right w:type="dxa" w:w="80"/>
            </w:tcMar>
          </w:tcPr>
          <w:p>
            <w:pPr>
              <w:spacing w:after="60" w:before="60"/>
              <w:jc w:val="left"/>
            </w:pPr>
            <w:r>
              <w:rPr>
                <w:rFonts w:ascii="Arial" w:cs="Arial" w:eastAsia="Arial" w:hAnsi="Arial"/>
                <w:b/>
                <w:bCs/>
                <w:i w:val="false"/>
                <w:iCs w:val="false"/>
                <w:color w:val="FFFFFF"/>
                <w:sz w:val="24"/>
                <w:szCs w:val="24"/>
              </w:rPr>
              <w:t xml:space="preserve">11.  EXIT STRATEGY</w:t>
            </w:r>
          </w:p>
        </w:tc>
        <w:tc>
          <w:tcPr>
            <w:tcW w:type="dxa" w:w="1080"/>
            <w:shd w:fill="1F3864" w:val="clear"/>
            <w:tcMar>
              <w:top w:type="dxa" w:w="80"/>
              <w:left w:type="dxa" w:w="60"/>
              <w:bottom w:type="dxa" w:w="80"/>
              <w:right w:type="dxa" w:w="60"/>
            </w:tcMar>
            <w:vAlign w:val="center"/>
          </w:tcPr>
          <w:p>
            <w:pPr>
              <w:spacing w:after="60" w:before="60"/>
              <w:jc w:val="center"/>
            </w:pPr>
            <w:r>
              <w:rPr>
                <w:rFonts w:ascii="Arial" w:cs="Arial" w:eastAsia="Arial" w:hAnsi="Arial"/>
                <w:b/>
                <w:bCs/>
                <w:i w:val="false"/>
                <w:iCs w:val="false"/>
                <w:color w:val="FFFFFF"/>
                <w:sz w:val="18"/>
                <w:szCs w:val="18"/>
              </w:rPr>
              <w:t xml:space="preserve">Score</w:t>
            </w:r>
          </w:p>
        </w:tc>
      </w:tr>
      <w:tr>
        <w:tc>
          <w:tcPr>
            <w:tcW w:type="dxa" w:w="9432"/>
            <w:tcMar>
              <w:top w:type="dxa" w:w="120"/>
              <w:left w:type="dxa" w:w="160"/>
              <w:bottom w:type="dxa" w:w="120"/>
              <w:right w:type="dxa" w:w="120"/>
            </w:tcMar>
          </w:tcPr>
          <w:p>
            <w:pPr>
              <w:spacing w:after="60" w:before="60"/>
              <w:jc w:val="left"/>
            </w:pPr>
            <w:r>
              <w:rPr>
                <w:rFonts w:ascii="Arial" w:cs="Arial" w:eastAsia="Arial" w:hAnsi="Arial"/>
                <w:b w:val="false"/>
                <w:bCs w:val="false"/>
                <w:i w:val="false"/>
                <w:iCs w:val="false"/>
                <w:color w:val="000000"/>
                <w:sz w:val="20"/>
                <w:szCs w:val="20"/>
              </w:rPr>
              <w:t xml:space="preserve">Most likely exit: Strategic M&amp;A acquisition, 2029–2031 (5–7 year horizon). The most credible acquirer is Panasonic — production deployment, internal technology validation ('10 years ahead'), and an informal acquisition inquiry already raised. Secondary acquirers include Christie Digital, Barco, and Disguise, all of whom would gain competitive advantage by embedding Artemis calibration into their projector hardware and media server product lines.</w:t>
            </w:r>
          </w:p>
          <w:p>
            <w:pPr>
              <w:spacing w:after="60" w:before="0"/>
            </w:pPr>
            <w:r>
              <w:rPr>
                <w:rFonts w:ascii="Arial" w:cs="Arial" w:eastAsia="Arial" w:hAnsi="Arial"/>
                <w:b w:val="false"/>
                <w:bCs w:val="false"/>
                <w:i w:val="false"/>
                <w:iCs w:val="false"/>
                <w:color w:val="000000"/>
                <w:sz w:val="20"/>
                <w:szCs w:val="20"/>
              </w:rPr>
              <w:t xml:space="preserve"/>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00"/>
              <w:gridCol w:w="100"/>
              <w:gridCol w:w="100"/>
            </w:tblGrid>
            <w:tr>
              <w:trPr>
                <w:tblHeader/>
              </w:trPr>
              <w:tc>
                <w:tcPr>
                  <w:tcW w:type="dxa" w:w="235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Acquirer</w:t>
                  </w:r>
                </w:p>
              </w:tc>
              <w:tc>
                <w:tcPr>
                  <w:tcW w:type="dxa" w:w="528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Rationale</w:t>
                  </w:r>
                </w:p>
              </w:tc>
              <w:tc>
                <w:tcPr>
                  <w:tcW w:type="dxa" w:w="179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Probability</w:t>
                  </w:r>
                </w:p>
              </w:tc>
            </w:tr>
            <w:tr>
              <w:tc>
                <w:tcPr>
                  <w:tcW w:type="dxa" w:w="235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Panasonic</w:t>
                  </w:r>
                </w:p>
              </w:tc>
              <w:tc>
                <w:tcPr>
                  <w:tcW w:type="dxa" w:w="528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80-projector production deployment; independently validated Artemis; acquisition inquiry already raised by Panasonic team</w:t>
                  </w:r>
                </w:p>
              </w:tc>
              <w:tc>
                <w:tcPr>
                  <w:tcW w:type="dxa" w:w="179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w:t>
                  </w:r>
                </w:p>
              </w:tc>
            </w:tr>
            <w:tr>
              <w:tc>
                <w:tcPr>
                  <w:tcW w:type="dxa" w:w="235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Christie Digital</w:t>
                  </w:r>
                </w:p>
              </w:tc>
              <w:tc>
                <w:tcPr>
                  <w:tcW w:type="dxa" w:w="528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Leading projector OEM; Artemis would differentiate Christie's systems on complex venue installations</w:t>
                  </w:r>
                </w:p>
              </w:tc>
              <w:tc>
                <w:tcPr>
                  <w:tcW w:type="dxa" w:w="179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w:t>
                  </w:r>
                </w:p>
              </w:tc>
            </w:tr>
            <w:tr>
              <w:tc>
                <w:tcPr>
                  <w:tcW w:type="dxa" w:w="235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Barco</w:t>
                  </w:r>
                </w:p>
              </w:tc>
              <w:tc>
                <w:tcPr>
                  <w:tcW w:type="dxa" w:w="528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AV infrastructure leader; calibration capability fills gap in Barco's projection ecosystem</w:t>
                  </w:r>
                </w:p>
              </w:tc>
              <w:tc>
                <w:tcPr>
                  <w:tcW w:type="dxa" w:w="179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w:t>
                  </w:r>
                </w:p>
              </w:tc>
            </w:tr>
            <w:tr>
              <w:tc>
                <w:tcPr>
                  <w:tcW w:type="dxa" w:w="235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Disguise (d3)</w:t>
                  </w:r>
                </w:p>
              </w:tc>
              <w:tc>
                <w:tcPr>
                  <w:tcW w:type="dxa" w:w="528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Enterprise projection mapping leader; Artemis adds automated calibration layer absent from Disguise's current platform</w:t>
                  </w:r>
                </w:p>
              </w:tc>
              <w:tc>
                <w:tcPr>
                  <w:tcW w:type="dxa" w:w="179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20"/>
                <w:szCs w:val="20"/>
              </w:rPr>
              <w:t xml:space="preserve">Early exit triggers:</w:t>
            </w:r>
            <w:r>
              <w:rPr>
                <w:rFonts w:ascii="Arial" w:cs="Arial" w:eastAsia="Arial" w:hAnsi="Arial"/>
                <w:b w:val="false"/>
                <w:bCs w:val="false"/>
                <w:i w:val="false"/>
                <w:iCs w:val="false"/>
                <w:color w:val="000000"/>
                <w:sz w:val="20"/>
                <w:szCs w:val="20"/>
              </w:rPr>
              <w:t xml:space="preserve">  Panasonic acquisition inquiry formalizes; 3+ media server OEM licensing contracts signed; $5M+ ARR reached.</w:t>
            </w:r>
          </w:p>
          <w:p>
            <w:pPr>
              <w:spacing w:after="60" w:before="60"/>
              <w:jc w:val="left"/>
            </w:pPr>
            <w:r>
              <w:rPr>
                <w:rFonts w:ascii="Arial" w:cs="Arial" w:eastAsia="Arial" w:hAnsi="Arial"/>
                <w:b/>
                <w:bCs/>
                <w:i/>
                <w:iCs/>
                <w:color w:val="000000"/>
                <w:sz w:val="20"/>
                <w:szCs w:val="20"/>
              </w:rPr>
              <w:t xml:space="preserve">⚠  10x return gap: </w:t>
            </w:r>
            <w:r>
              <w:rPr>
                <w:rFonts w:ascii="Arial" w:cs="Arial" w:eastAsia="Arial" w:hAnsi="Arial"/>
                <w:b w:val="false"/>
                <w:bCs w:val="false"/>
                <w:i/>
                <w:iCs/>
                <w:color w:val="000000"/>
                <w:sz w:val="20"/>
                <w:szCs w:val="20"/>
              </w:rPr>
              <w:t xml:space="preserve">Base case does not support 10x at this check size (see S9 Financials). Bull case hits target. IC should explicitly underwrite the OEM channel scale-up thesis or adjust check size to Base case returns.</w:t>
            </w:r>
          </w:p>
        </w:tc>
        <w:tc>
          <w:tcPr>
            <w:tcW w:type="dxa" w:w="1080"/>
            <w:shd w:fill="375623" w:val="clear"/>
            <w:tcMar>
              <w:top w:type="dxa" w:w="80"/>
              <w:left w:type="dxa" w:w="60"/>
              <w:bottom w:type="dxa" w:w="80"/>
              <w:right w:type="dxa" w:w="60"/>
            </w:tcMar>
            <w:vAlign w:val="center"/>
          </w:tcPr>
          <w:p>
            <w:pPr>
              <w:spacing w:after="0" w:before="0"/>
              <w:jc w:val="center"/>
            </w:pPr>
            <w:r>
              <w:rPr>
                <w:rFonts w:ascii="Arial" w:cs="Arial" w:eastAsia="Arial" w:hAnsi="Arial"/>
                <w:b/>
                <w:bCs/>
                <w:i w:val="false"/>
                <w:iCs w:val="false"/>
                <w:color w:val="FFFFFF"/>
                <w:sz w:val="48"/>
                <w:szCs w:val="48"/>
              </w:rPr>
              <w:t xml:space="preserve">4</w:t>
            </w:r>
          </w:p>
        </w:tc>
      </w:tr>
    </w:tbl>
    <w:p>
      <w:pPr>
        <w:spacing w:after="14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tblGrid>
      <w:tr>
        <w:tc>
          <w:tcPr>
            <w:shd w:fill="1F3864" w:val="clear"/>
            <w:tcMar>
              <w:top w:type="dxa" w:w="120"/>
              <w:left w:type="dxa" w:w="160"/>
              <w:bottom w:type="dxa" w:w="120"/>
              <w:right w:type="dxa" w:w="160"/>
            </w:tcMar>
          </w:tcPr>
          <w:p>
            <w:pPr>
              <w:spacing w:after="60" w:before="60"/>
              <w:jc w:val="left"/>
            </w:pPr>
            <w:r>
              <w:rPr>
                <w:rFonts w:ascii="Arial" w:cs="Arial" w:eastAsia="Arial" w:hAnsi="Arial"/>
                <w:b/>
                <w:bCs/>
                <w:i w:val="false"/>
                <w:iCs w:val="false"/>
                <w:color w:val="FFFFFF"/>
                <w:sz w:val="24"/>
                <w:szCs w:val="24"/>
              </w:rPr>
              <w:t xml:space="preserve">RECOMMENDATION</w:t>
            </w:r>
          </w:p>
        </w:tc>
      </w:tr>
      <w:tr>
        <w:tc>
          <w:tcPr>
            <w:tcMar>
              <w:top w:type="dxa" w:w="140"/>
              <w:left w:type="dxa" w:w="160"/>
              <w:bottom w:type="dxa" w:w="140"/>
              <w:right w:type="dxa" w:w="160"/>
            </w:tcMar>
          </w:tcPr>
          <w:p>
            <w:pPr>
              <w:spacing w:after="60" w:before="60"/>
              <w:jc w:val="left"/>
            </w:pPr>
            <w:r>
              <w:rPr>
                <w:rFonts w:ascii="Arial" w:cs="Arial" w:eastAsia="Arial" w:hAnsi="Arial"/>
                <w:b/>
                <w:bCs/>
                <w:i w:val="false"/>
                <w:iCs w:val="false"/>
                <w:color w:val="000000"/>
                <w:sz w:val="20"/>
                <w:szCs w:val="20"/>
              </w:rPr>
              <w:t xml:space="preserve">NWAi TechGroup Recommendation:</w:t>
            </w:r>
          </w:p>
          <w:p>
            <w:pPr>
              <w:spacing w:after="40" w:before="0"/>
            </w:pPr>
            <w:r>
              <w:rPr>
                <w:rFonts w:ascii="Arial" w:cs="Arial" w:eastAsia="Arial" w:hAnsi="Arial"/>
                <w:b w:val="false"/>
                <w:bCs w:val="false"/>
                <w:i w:val="false"/>
                <w:iCs w:val="false"/>
                <w:color w:val="000000"/>
                <w:sz w:val="20"/>
                <w:szCs w:val="20"/>
              </w:rPr>
              <w:t xml:space="preserve"/>
            </w:r>
          </w:p>
          <w:p>
            <w:pPr>
              <w:spacing w:after="40" w:before="40"/>
              <w:jc w:val="left"/>
            </w:pPr>
            <w:r>
              <w:rPr>
                <w:rFonts w:ascii="Arial" w:cs="Arial" w:eastAsia="Arial" w:hAnsi="Arial"/>
                <w:b/>
                <w:bCs/>
                <w:i w:val="false"/>
                <w:iCs w:val="false"/>
                <w:color w:val="1B5E20"/>
                <w:sz w:val="22"/>
                <w:szCs w:val="22"/>
              </w:rPr>
              <w:t xml:space="preserve">☒  INVEST — [NWAi check size: TO BE CONFIRMED]</w:t>
            </w:r>
          </w:p>
          <w:p>
            <w:pPr>
              <w:spacing w:after="40" w:before="40"/>
              <w:jc w:val="left"/>
            </w:pPr>
            <w:r>
              <w:rPr>
                <w:rFonts w:ascii="Arial" w:cs="Arial" w:eastAsia="Arial" w:hAnsi="Arial"/>
                <w:b w:val="false"/>
                <w:bCs w:val="false"/>
                <w:i w:val="false"/>
                <w:iCs w:val="false"/>
                <w:color w:val="000000"/>
                <w:sz w:val="22"/>
                <w:szCs w:val="22"/>
              </w:rPr>
              <w:t xml:space="preserve">☐  WATCH — Re-evaluate</w:t>
            </w:r>
          </w:p>
          <w:p>
            <w:pPr>
              <w:spacing w:after="80" w:before="40"/>
              <w:jc w:val="left"/>
            </w:pPr>
            <w:r>
              <w:rPr>
                <w:rFonts w:ascii="Arial" w:cs="Arial" w:eastAsia="Arial" w:hAnsi="Arial"/>
                <w:b w:val="false"/>
                <w:bCs w:val="false"/>
                <w:i w:val="false"/>
                <w:iCs w:val="false"/>
                <w:color w:val="000000"/>
                <w:sz w:val="22"/>
                <w:szCs w:val="22"/>
              </w:rPr>
              <w:t xml:space="preserve">☐  PASS — Do not invest</w:t>
            </w:r>
          </w:p>
          <w:p>
            <w:pPr>
              <w:spacing w:after="60" w:before="60"/>
              <w:jc w:val="left"/>
            </w:pPr>
            <w:r>
              <w:rPr>
                <w:rFonts w:ascii="Arial" w:cs="Arial" w:eastAsia="Arial" w:hAnsi="Arial"/>
                <w:b/>
                <w:bCs/>
                <w:i w:val="false"/>
                <w:iCs w:val="false"/>
                <w:color w:val="000000"/>
                <w:sz w:val="20"/>
                <w:szCs w:val="20"/>
              </w:rPr>
              <w:t xml:space="preserve">Rationale:  </w:t>
            </w:r>
            <w:r>
              <w:rPr>
                <w:rFonts w:ascii="Arial" w:cs="Arial" w:eastAsia="Arial" w:hAnsi="Arial"/>
                <w:b w:val="false"/>
                <w:bCs w:val="false"/>
                <w:i w:val="false"/>
                <w:iCs w:val="false"/>
                <w:color w:val="000000"/>
                <w:sz w:val="20"/>
                <w:szCs w:val="20"/>
              </w:rPr>
              <w:t xml:space="preserve">STL is a technically exceptional but financially fragile deep-tech company at the edge of its first major inflection point. The core technology is real, patent-protected, and independently validated by a Fortune 500 OEM that has already raised the topic of acquisition. The bet is that Dr. Majumder's decade of foundational research has produced a defensible, deployable calibration capability that the market demonstrably wants — and that the bridge close enables the GTM hire that unlocks channel-scaling required for Series A.</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00000"/>
                <w:sz w:val="20"/>
                <w:szCs w:val="20"/>
              </w:rPr>
              <w:t xml:space="preserve">Conditions Before Capital Deployment:</w:t>
            </w:r>
          </w:p>
          <w:p>
            <w:pPr>
              <w:spacing w:after="30" w:before="40"/>
              <w:ind w:left="240"/>
              <w:jc w:val="left"/>
            </w:pPr>
            <w:r>
              <w:rPr>
                <w:rFonts w:ascii="Arial" w:cs="Arial" w:eastAsia="Arial" w:hAnsi="Arial"/>
                <w:b w:val="false"/>
                <w:bCs w:val="false"/>
                <w:i w:val="false"/>
                <w:iCs w:val="false"/>
                <w:color w:val="000000"/>
                <w:sz w:val="20"/>
                <w:szCs w:val="20"/>
              </w:rPr>
              <w:t xml:space="preserve">1.  Bridge round closes with sufficient capital by April 30, 2026  —  confirmed in writing from Golden Seeds</w:t>
            </w:r>
          </w:p>
          <w:p>
            <w:pPr>
              <w:spacing w:after="30" w:before="30"/>
              <w:ind w:left="240"/>
              <w:jc w:val="left"/>
            </w:pPr>
            <w:r>
              <w:rPr>
                <w:rFonts w:ascii="Arial" w:cs="Arial" w:eastAsia="Arial" w:hAnsi="Arial"/>
                <w:b w:val="false"/>
                <w:bCs w:val="false"/>
                <w:i w:val="false"/>
                <w:iCs w:val="false"/>
                <w:color w:val="000000"/>
                <w:sz w:val="20"/>
                <w:szCs w:val="20"/>
              </w:rPr>
              <w:t xml:space="preserve">2.  ARR composition confirmed: ≥40% recurring SaaS/AMC revenue (not one-time capex)</w:t>
            </w:r>
          </w:p>
          <w:p>
            <w:pPr>
              <w:spacing w:after="30" w:before="30"/>
              <w:ind w:left="240"/>
              <w:jc w:val="left"/>
            </w:pPr>
            <w:r>
              <w:rPr>
                <w:rFonts w:ascii="Arial" w:cs="Arial" w:eastAsia="Arial" w:hAnsi="Arial"/>
                <w:b w:val="false"/>
                <w:bCs w:val="false"/>
                <w:i w:val="false"/>
                <w:iCs w:val="false"/>
                <w:color w:val="000000"/>
                <w:sz w:val="20"/>
                <w:szCs w:val="20"/>
              </w:rPr>
              <w:t xml:space="preserve">3.  Legal review of 1.5× liquidation preference — request reduction to 1.0× or removal</w:t>
            </w:r>
          </w:p>
          <w:p>
            <w:pPr>
              <w:spacing w:after="30" w:before="30"/>
              <w:ind w:left="240"/>
              <w:jc w:val="left"/>
            </w:pPr>
            <w:r>
              <w:rPr>
                <w:rFonts w:ascii="Arial" w:cs="Arial" w:eastAsia="Arial" w:hAnsi="Arial"/>
                <w:b w:val="false"/>
                <w:bCs w:val="false"/>
                <w:i w:val="false"/>
                <w:iCs w:val="false"/>
                <w:color w:val="000000"/>
                <w:sz w:val="20"/>
                <w:szCs w:val="20"/>
              </w:rPr>
              <w:t xml:space="preserve">4.  UCI license renegotiation language reviewed by NWAi counsel</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iCs/>
                <w:color w:val="555555"/>
                <w:sz w:val="18"/>
                <w:szCs w:val="18"/>
              </w:rPr>
              <w:t xml:space="preserve">Theme: WorkTech &amp; Vertical Enterprise OS (Projection AI)  |  Lead: TBD — Pending Dealum API  |  SMEs: TBD — Pending Dealum API</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gridCol w:w="100"/>
        <w:gridCol w:w="100"/>
      </w:tblGrid>
      <w:tr>
        <w:tc>
          <w:tcPr>
            <w:gridSpan w:val="4"/>
            <w:shd w:fill="1F3864"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2"/>
                <w:szCs w:val="22"/>
              </w:rPr>
              <w:t xml:space="preserve">DD TEAM VOTES</w:t>
            </w:r>
          </w:p>
        </w:tc>
      </w:tr>
      <w:tr>
        <w:trPr>
          <w:tblHeader/>
        </w:trPr>
        <w:tc>
          <w:tcPr>
            <w:tcW w:type="dxa" w:w="3154"/>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Role</w:t>
            </w:r>
          </w:p>
        </w:tc>
        <w:tc>
          <w:tcPr>
            <w:tcW w:type="dxa" w:w="3154"/>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Name</w:t>
            </w:r>
          </w:p>
        </w:tc>
        <w:tc>
          <w:tcPr>
            <w:tcW w:type="dxa" w:w="210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Recommend</w:t>
            </w:r>
          </w:p>
        </w:tc>
        <w:tc>
          <w:tcPr>
            <w:tcW w:type="dxa" w:w="210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Add-On Interest</w:t>
            </w:r>
          </w:p>
        </w:tc>
      </w:tr>
      <w:tr>
        <w:tc>
          <w:tcPr>
            <w:tcW w:type="dxa" w:w="315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DD Committee Chair</w:t>
            </w:r>
          </w:p>
        </w:tc>
        <w:tc>
          <w:tcPr>
            <w:tcW w:type="dxa" w:w="315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210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Yes</w:t>
            </w:r>
          </w:p>
        </w:tc>
        <w:tc>
          <w:tcPr>
            <w:tcW w:type="dxa" w:w="210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w:t>
            </w:r>
          </w:p>
        </w:tc>
      </w:tr>
      <w:tr>
        <w:tc>
          <w:tcPr>
            <w:tcW w:type="dxa" w:w="315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DD Lead</w:t>
            </w:r>
          </w:p>
        </w:tc>
        <w:tc>
          <w:tcPr>
            <w:tcW w:type="dxa" w:w="315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210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Yes</w:t>
            </w:r>
          </w:p>
        </w:tc>
        <w:tc>
          <w:tcPr>
            <w:tcW w:type="dxa" w:w="210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w:t>
            </w:r>
          </w:p>
        </w:tc>
      </w:tr>
      <w:tr>
        <w:tc>
          <w:tcPr>
            <w:tcW w:type="dxa" w:w="315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DD Member</w:t>
            </w:r>
          </w:p>
        </w:tc>
        <w:tc>
          <w:tcPr>
            <w:tcW w:type="dxa" w:w="3154"/>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210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w:t>
            </w:r>
          </w:p>
        </w:tc>
        <w:tc>
          <w:tcPr>
            <w:tcW w:type="dxa" w:w="210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w:t>
            </w:r>
          </w:p>
        </w:tc>
      </w:tr>
      <w:tr>
        <w:tc>
          <w:tcPr>
            <w:tcW w:type="dxa" w:w="315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DD Member</w:t>
            </w:r>
          </w:p>
        </w:tc>
        <w:tc>
          <w:tcPr>
            <w:tcW w:type="dxa" w:w="3154"/>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[TO BE CONFIRMED]</w:t>
            </w:r>
          </w:p>
        </w:tc>
        <w:tc>
          <w:tcPr>
            <w:tcW w:type="dxa" w:w="210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w:t>
            </w:r>
          </w:p>
        </w:tc>
        <w:tc>
          <w:tcPr>
            <w:tcW w:type="dxa" w:w="210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10512"/>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100"/>
        <w:gridCol w:w="100"/>
        <w:gridCol w:w="100"/>
        <w:gridCol w:w="100"/>
      </w:tblGrid>
      <w:tr>
        <w:tc>
          <w:tcPr>
            <w:gridSpan w:val="4"/>
            <w:shd w:fill="1F3864"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2"/>
                <w:szCs w:val="22"/>
              </w:rPr>
              <w:t xml:space="preserve">APPENDIX A — OUTSTANDING DILIGENCE ITEMS</w:t>
            </w:r>
          </w:p>
        </w:tc>
      </w:tr>
      <w:tr>
        <w:trPr>
          <w:tblHeader/>
        </w:trPr>
        <w:tc>
          <w:tcPr>
            <w:tcW w:type="dxa" w:w="2628"/>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DD Folder / Item</w:t>
            </w:r>
          </w:p>
        </w:tc>
        <w:tc>
          <w:tcPr>
            <w:tcW w:type="dxa" w:w="4205"/>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Action Required</w:t>
            </w:r>
          </w:p>
        </w:tc>
        <w:tc>
          <w:tcPr>
            <w:tcW w:type="dxa" w:w="1892"/>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Owner</w:t>
            </w:r>
          </w:p>
        </w:tc>
        <w:tc>
          <w:tcPr>
            <w:tcW w:type="dxa" w:w="1787"/>
            <w:shd w:fill="1F3864"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8"/>
                <w:szCs w:val="18"/>
              </w:rPr>
              <w:t xml:space="preserve">Priority</w:t>
            </w:r>
          </w:p>
        </w:tc>
      </w:tr>
      <w:tr>
        <w:tc>
          <w:tcPr>
            <w:tcW w:type="dxa" w:w="2628"/>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Financials — ARR Split</w:t>
            </w:r>
          </w:p>
        </w:tc>
        <w:tc>
          <w:tcPr>
            <w:tcW w:type="dxa" w:w="4205"/>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Confirm SaaS vs. capex revenue breakdown; require ≥40% recurring ARR before capital deployment</w:t>
            </w:r>
          </w:p>
        </w:tc>
        <w:tc>
          <w:tcPr>
            <w:tcW w:type="dxa" w:w="1892"/>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GATE ❌</w:t>
            </w:r>
          </w:p>
        </w:tc>
      </w:tr>
      <w:tr>
        <w:tc>
          <w:tcPr>
            <w:tcW w:type="dxa" w:w="2628"/>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Bridge Round Close</w:t>
            </w:r>
          </w:p>
        </w:tc>
        <w:tc>
          <w:tcPr>
            <w:tcW w:type="dxa" w:w="4205"/>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Confirm closing by April 30, 2026 in writing from Golden Seeds</w:t>
            </w:r>
          </w:p>
        </w:tc>
        <w:tc>
          <w:tcPr>
            <w:tcW w:type="dxa" w:w="1892"/>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D7D7"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GATE ❌</w:t>
            </w:r>
          </w:p>
        </w:tc>
      </w:tr>
      <w:tr>
        <w:tc>
          <w:tcPr>
            <w:tcW w:type="dxa" w:w="2628"/>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Deal Terms — Liq. Pref.</w:t>
            </w:r>
          </w:p>
        </w:tc>
        <w:tc>
          <w:tcPr>
            <w:tcW w:type="dxa" w:w="4205"/>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Legal review of 1.5× liquidation preference; request reduction to 1.0× or removal</w:t>
            </w:r>
          </w:p>
        </w:tc>
        <w:tc>
          <w:tcPr>
            <w:tcW w:type="dxa" w:w="1892"/>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 ⚠</w:t>
            </w:r>
          </w:p>
        </w:tc>
      </w:tr>
      <w:tr>
        <w:tc>
          <w:tcPr>
            <w:tcW w:type="dxa" w:w="2628"/>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IP — UCI License</w:t>
            </w:r>
          </w:p>
        </w:tc>
        <w:tc>
          <w:tcPr>
            <w:tcW w:type="dxa" w:w="4205"/>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Legal review of renegotiation language; confirm change of control transfer is unambiguous</w:t>
            </w:r>
          </w:p>
        </w:tc>
        <w:tc>
          <w:tcPr>
            <w:tcW w:type="dxa" w:w="1892"/>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F3CD"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 ⚠</w:t>
            </w:r>
          </w:p>
        </w:tc>
      </w:tr>
      <w:tr>
        <w:tc>
          <w:tcPr>
            <w:tcW w:type="dxa" w:w="262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Cap Table — Folder 1</w:t>
            </w:r>
          </w:p>
        </w:tc>
        <w:tc>
          <w:tcPr>
            <w:tcW w:type="dxa" w:w="420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Confirm no undisclosed warrants, obligations, or side letters; reconcile January 2026 snapshot</w:t>
            </w:r>
          </w:p>
        </w:tc>
        <w:tc>
          <w:tcPr>
            <w:tcW w:type="dxa" w:w="189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HIGH ⚠</w:t>
            </w:r>
          </w:p>
        </w:tc>
      </w:tr>
      <w:tr>
        <w:tc>
          <w:tcPr>
            <w:tcW w:type="dxa" w:w="262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LTV:CAC — Unit Economics</w:t>
            </w:r>
          </w:p>
        </w:tc>
        <w:tc>
          <w:tcPr>
            <w:tcW w:type="dxa" w:w="4205"/>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Calculate formal CAC across Panasonic and NPI-AV deals; confirm LTV assumptions</w:t>
            </w:r>
          </w:p>
        </w:tc>
        <w:tc>
          <w:tcPr>
            <w:tcW w:type="dxa" w:w="189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w:t>
            </w:r>
          </w:p>
        </w:tc>
      </w:tr>
      <w:tr>
        <w:tc>
          <w:tcPr>
            <w:tcW w:type="dxa" w:w="262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GTM Hire — Sales Lead</w:t>
            </w:r>
          </w:p>
        </w:tc>
        <w:tc>
          <w:tcPr>
            <w:tcW w:type="dxa" w:w="420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Confirm recruiting timeline; request finalist candidate profile before IC</w:t>
            </w:r>
          </w:p>
        </w:tc>
        <w:tc>
          <w:tcPr>
            <w:tcW w:type="dxa" w:w="189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w:t>
            </w:r>
          </w:p>
        </w:tc>
      </w:tr>
      <w:tr>
        <w:tc>
          <w:tcPr>
            <w:tcW w:type="dxa" w:w="2628"/>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Customer References</w:t>
            </w:r>
          </w:p>
        </w:tc>
        <w:tc>
          <w:tcPr>
            <w:tcW w:type="dxa" w:w="4205"/>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Reference calls with Panasonic engineering contact + NPI-AV PM — confirm deployment satisfaction and expansion intent</w:t>
            </w:r>
          </w:p>
        </w:tc>
        <w:tc>
          <w:tcPr>
            <w:tcW w:type="dxa" w:w="1892"/>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4F4F4"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MEDIUM</w:t>
            </w:r>
          </w:p>
        </w:tc>
      </w:tr>
      <w:tr>
        <w:tc>
          <w:tcPr>
            <w:tcW w:type="dxa" w:w="2628"/>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Panasonic Acquisition Signal</w:t>
            </w:r>
          </w:p>
        </w:tc>
        <w:tc>
          <w:tcPr>
            <w:tcW w:type="dxa" w:w="4205"/>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Understand nature and timeline of acquisition conversation; inform IC on strategic exit optionality</w:t>
            </w:r>
          </w:p>
        </w:tc>
        <w:tc>
          <w:tcPr>
            <w:tcW w:type="dxa" w:w="1892"/>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TBD — Pending Dealum API</w:t>
            </w:r>
          </w:p>
        </w:tc>
        <w:tc>
          <w:tcPr>
            <w:tcW w:type="dxa" w:w="1787"/>
            <w:shd w:fill="FFFFFF" w:val="clear"/>
            <w:tcMar>
              <w:top w:type="dxa" w:w="60"/>
              <w:left w:type="dxa" w:w="120"/>
              <w:bottom w:type="dxa" w:w="60"/>
              <w:right w:type="dxa" w:w="80"/>
            </w:tcMar>
          </w:tcPr>
          <w:p>
            <w:pPr>
              <w:spacing w:after="60" w:before="60"/>
              <w:jc w:val="left"/>
            </w:pPr>
            <w:r>
              <w:rPr>
                <w:rFonts w:ascii="Arial" w:cs="Arial" w:eastAsia="Arial" w:hAnsi="Arial"/>
                <w:b w:val="false"/>
                <w:bCs w:val="false"/>
                <w:i w:val="false"/>
                <w:iCs w:val="false"/>
                <w:color w:val="000000"/>
                <w:sz w:val="18"/>
                <w:szCs w:val="18"/>
              </w:rPr>
              <w:t xml:space="preserve">LOW</w:t>
            </w:r>
          </w:p>
        </w:tc>
      </w:tr>
    </w:tbl>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both"/>
    </w:pPr>
    <w:r>
      <w:rPr>
        <w:rFonts w:ascii="Arial" w:cs="Arial" w:eastAsia="Arial" w:hAnsi="Arial"/>
        <w:b w:val="false"/>
        <w:bCs w:val="false"/>
        <w:i w:val="false"/>
        <w:iCs w:val="false"/>
        <w:color w:val="777777"/>
        <w:sz w:val="18"/>
        <w:szCs w:val="18"/>
      </w:rPr>
      <w:t xml:space="preserve">Summit Technology Laboratory (STL)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b w:val="false"/>
        <w:bCs w:val="false"/>
        <w:i w:val="false"/>
        <w:iCs w:val="false"/>
        <w:color w:val="777777"/>
        <w:sz w:val="18"/>
        <w:szCs w:val="18"/>
      </w:rPr>
      <w:t xml:space="preserve">New World Angels — Confidential Investment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2026-03-20T01:04:00.590Z</dcterms:created>
  <dcterms:modified xsi:type="dcterms:W3CDTF">2026-03-20T01:04:00.591Z</dcterms:modified>
</cp:coreProperties>
</file>

<file path=docProps/custom.xml><?xml version="1.0" encoding="utf-8"?>
<Properties xmlns="http://schemas.openxmlformats.org/officeDocument/2006/custom-properties" xmlns:vt="http://schemas.openxmlformats.org/officeDocument/2006/docPropsVTypes"/>
</file>