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b/>
          <w:bCs/>
          <w:color w:val="1F3864"/>
          <w:sz w:val="28"/>
          <w:szCs w:val="28"/>
        </w:rPr>
        <w:t xml:space="preserve">NWAi TechGroup</w:t>
      </w:r>
    </w:p>
    <w:p>
      <w:pPr>
        <w:jc w:val="center"/>
      </w:pPr>
      <w:r>
        <w:rPr>
          <w:color w:val="1F3864"/>
          <w:sz w:val="24"/>
          <w:szCs w:val="24"/>
        </w:rPr>
        <w:t xml:space="preserve">Due Diligence Kickoff Package</w:t>
      </w:r>
    </w:p>
    <w:p>
      <w:pPr>
        <w:spacing w:after="0" w:before="80"/>
      </w:pPr>
      <w:r>
        <w:t xml:space="preserve"/>
      </w:r>
    </w:p>
    <w:p>
      <w:pPr>
        <w:jc w:val="center"/>
      </w:pPr>
      <w:r>
        <w:rPr>
          <w:b/>
          <w:bCs/>
          <w:color w:val="1F3864"/>
          <w:sz w:val="32"/>
          <w:szCs w:val="32"/>
        </w:rPr>
        <w:t xml:space="preserve">Summit Technology Laboratory (STL)</w:t>
      </w:r>
    </w:p>
    <w:p>
      <w:pPr>
        <w:jc w:val="center"/>
      </w:pPr>
      <w:r>
        <w:rPr>
          <w:i/>
          <w:iCs/>
          <w:color w:val="1F3864"/>
          <w:sz w:val="22"/>
          <w:szCs w:val="22"/>
        </w:rPr>
        <w:t xml:space="preserve">Artemis™ — AI-Powered Projection Mapping Automation</w:t>
      </w:r>
    </w:p>
    <w:p>
      <w:pPr>
        <w:spacing w:after="0" w:before="120"/>
      </w:pPr>
      <w:r>
        <w:t xml:space="preserve"/>
      </w:r>
    </w:p>
    <w:p>
      <w:pPr>
        <w:jc w:val="center"/>
      </w:pPr>
      <w:r>
        <w:rPr>
          <w:color w:val="444444"/>
          <w:sz w:val="18"/>
          <w:szCs w:val="18"/>
        </w:rPr>
        <w:t xml:space="preserve">Prepared: March 17, 2026  |  Revised Format: March 19, 2026  |  Dealum ID: WJFS-NVUT-1645</w:t>
      </w:r>
    </w:p>
    <w:p>
      <w:pPr>
        <w:jc w:val="center"/>
      </w:pPr>
      <w:r>
        <w:rPr>
          <w:b/>
          <w:bCs/>
          <w:color w:val="2E75B6"/>
          <w:sz w:val="20"/>
          <w:szCs w:val="20"/>
        </w:rPr>
        <w:t xml:space="preserve">Theme 2 — SW Enabled HW, Physical AI &amp; Robotics</w:t>
      </w:r>
    </w:p>
    <w:p>
      <w:pPr>
        <w:spacing w:after="0" w:before="60"/>
      </w:pPr>
      <w:r>
        <w:t xml:space="preserve"/>
      </w:r>
    </w:p>
    <w:p>
      <w:pPr>
        <w:pBdr>
          <w:bottom w:val="single" w:color="2E75B6" w:sz="8"/>
        </w:pBdr>
      </w:pPr>
    </w:p>
    <w:p>
      <w:pPr>
        <w:spacing w:after="0" w:before="60"/>
      </w:pPr>
      <w:r>
        <w:t xml:space="preserve"/>
      </w:r>
    </w:p>
    <w:p>
      <w:pPr>
        <w:jc w:val="center"/>
      </w:pPr>
      <w:r>
        <w:rPr>
          <w:i/>
          <w:iCs/>
          <w:color w:val="666666"/>
          <w:sz w:val="16"/>
          <w:szCs w:val="16"/>
        </w:rPr>
        <w:t xml:space="preserve">Revised Format Note: This version implements the Hub &amp; Spoke structure. Risks and gate-critical questions appear once — in Part C. Parts A, D, and E reference Part C rather than restate it.</w:t>
      </w:r>
    </w:p>
    <w:p>
      <w:r>
        <w:br w:type="page"/>
      </w:r>
    </w:p>
    <w:p>
      <w:pPr>
        <w:pStyle w:val="Heading1"/>
        <w:shd w:fill="1F3864" w:val="clear"/>
        <w:spacing w:after="120" w:before="240"/>
      </w:pPr>
      <w:r>
        <w:rPr>
          <w:b/>
          <w:bCs/>
          <w:color w:val="FFFFFF"/>
          <w:sz w:val="26"/>
          <w:szCs w:val="26"/>
        </w:rPr>
        <w:t xml:space="preserve">PART A — DEAL BRIEF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Company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Summit Technology Laboratory (STL)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Website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summittechlab.com | summittechnologylaboratory.com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HQ</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Irvine, California, USA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Founded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2015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Dealum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WJFS-NVUT-1645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Theme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Theme 2 — SW Enabled HW, Physical AI &amp; Robotics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Lead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TBD — Pending Dealum API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SMEs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TBD — Pending Dealum API</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Product</w:t>
      </w:r>
    </w:p>
    <w:p>
      <w:r>
        <w:rPr>
          <w:color w:val="000000"/>
          <w:sz w:val="20"/>
          <w:szCs w:val="20"/>
        </w:rPr>
        <w:t xml:space="preserve">Artemis™ is an AI-powered computer vision software platform that automates multi-projector alignment, warping, and blending across arbitrary 3D surface geometries (domes, cylinders, irregular shapes). Hardware-agnostic — supports Panasonic, Epson, Barco, LCD/DLP, and all lens types including fisheye. Reduces calibration time from hours/days to under 4 minutes. Outputs a digital twin 3D model of the display surface. Integrates natively with Unreal Engine.</w:t>
      </w:r>
    </w:p>
    <w:p>
      <w:pPr>
        <w:spacing w:after="0" w:before="120"/>
      </w:pPr>
      <w:r>
        <w:t xml:space="preserve"/>
      </w:r>
    </w:p>
    <w:p>
      <w:pPr>
        <w:pStyle w:val="Heading2"/>
        <w:pBdr>
          <w:bottom w:val="single" w:color="2E75B6" w:sz="4"/>
        </w:pBdr>
        <w:spacing w:after="80" w:before="200"/>
      </w:pPr>
      <w:r>
        <w:rPr>
          <w:b/>
          <w:bCs/>
          <w:color w:val="2E75B6"/>
          <w:sz w:val="22"/>
          <w:szCs w:val="22"/>
        </w:rPr>
        <w:t xml:space="preserve">Round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Current Round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$750K Bridge Convertible Note — signed December 2025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Prior Financing</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$1.3M Seed (July 2022); SBIR Phase 1 &amp; Phase 2 awards; $600K prior convertible notes outstanding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Lead Investor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Golden Seeds (women-focused angel network; ~$190M deployed; Dec 2024 investment memo on file)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Entity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C-Corp — US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8"/>
                <w:szCs w:val="18"/>
              </w:rPr>
              <w:t xml:space="preserve">SAFE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None found  ✅</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8"/>
                <w:szCs w:val="18"/>
              </w:rPr>
              <w:t xml:space="preserve">Total Raised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8"/>
                <w:szCs w:val="18"/>
              </w:rPr>
              <w:t xml:space="preserve">~$2.2M+ (equity + debt, excluding non-dilutive SBIR)</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Scout Thesis —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r>
              <w:rPr>
                <w:b/>
                <w:bCs/>
                <w:color w:val="375623"/>
                <w:sz w:val="18"/>
                <w:szCs w:val="18"/>
              </w:rPr>
              <w:t xml:space="preserve">Big Idea</w:t>
            </w:r>
            <w:r>
              <w:rPr>
                <w:b/>
                <w:bCs/>
                <w:color w:val="375623"/>
                <w:sz w:val="18"/>
                <w:szCs w:val="18"/>
              </w:rPr>
              <w:t xml:space="preserve">  STRONG</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Artemis automates multi-projector calibration — a genuinely painful, skilled-labor-intensive process — using proprietary CV algorithms built on 25 years of Dr. Majumder's research. Structural Discontinuity: AI-automated spatial calibration replaces manual technician labor across defense, themed entertainment, and institutional display markets.</w:t>
            </w:r>
          </w:p>
        </w:tc>
      </w:tr>
      <w:tr>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8"/>
                <w:szCs w:val="18"/>
              </w:rPr>
              <w:t xml:space="preserve">Market</w:t>
            </w:r>
            <w:r>
              <w:rPr>
                <w:b/>
                <w:bCs/>
                <w:color w:val="B8860B"/>
                <w:sz w:val="18"/>
                <w:szCs w:val="18"/>
              </w:rPr>
              <w:t xml:space="preserve">  ADEQUATE ⚠️</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Niche but defensible TAM. Realistic SAM (software calibration only) ~$20M–$92M globally. High-growth segments (defense simulation, immersive entertainment) at 21–23% CAGR. Sufficient for a strong niche exit; not a standalone unicorn market.</w:t>
            </w:r>
          </w:p>
        </w:tc>
      </w:tr>
      <w:tr>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8"/>
                <w:szCs w:val="18"/>
              </w:rPr>
              <w:t xml:space="preserve">Moat</w:t>
            </w:r>
            <w:r>
              <w:rPr>
                <w:b/>
                <w:bCs/>
                <w:color w:val="B8860B"/>
                <w:sz w:val="18"/>
                <w:szCs w:val="18"/>
              </w:rPr>
              <w:t xml:space="preserve">  DEVELOPING ⚠️</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8"/>
                <w:szCs w:val="18"/>
              </w:rPr>
              <w:t xml:space="preserve">Core algorithmic IP from Majumder's 25+ years of research + 8 US patents provides genuine early moat. Incumbents (Scalable Display, Panasonic, Christie, Barco) are embedding AI calibration in their own ecosystems. Window to establish deep workflow moat: 12–24 months.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E0E0" w:val="clear"/>
            <w:tcMar>
              <w:top w:type="dxa" w:w="60"/>
              <w:left w:type="dxa" w:w="100"/>
              <w:bottom w:type="dxa" w:w="60"/>
              <w:right w:type="dxa" w:w="100"/>
            </w:tcMar>
            <w:vAlign w:val="top"/>
          </w:tcPr>
          <w:p>
            <w:r>
              <w:rPr>
                <w:b/>
                <w:bCs/>
                <w:color w:val="C00000"/>
                <w:sz w:val="18"/>
                <w:szCs w:val="18"/>
              </w:rPr>
              <w:t xml:space="preserve">⚡ 3 gate-critical flags — see Part C: </w:t>
            </w:r>
            <w:r>
              <w:rPr>
                <w:color w:val="000000"/>
                <w:sz w:val="18"/>
                <w:szCs w:val="18"/>
              </w:rPr>
              <w:t xml:space="preserve">Folder 10 (IP ownership), Folder 2 (Financials/Runway), Folder 1 (Cap Table / Liquidation Preference)</w:t>
            </w:r>
          </w:p>
        </w:tc>
      </w:tr>
    </w:tbl>
    <w:p>
      <w:r>
        <w:br w:type="page"/>
      </w:r>
    </w:p>
    <w:p>
      <w:pPr>
        <w:pStyle w:val="Heading1"/>
        <w:shd w:fill="1F3864" w:val="clear"/>
        <w:spacing w:after="120" w:before="240"/>
      </w:pPr>
      <w:r>
        <w:rPr>
          <w:b/>
          <w:bCs/>
          <w:color w:val="FFFFFF"/>
          <w:sz w:val="26"/>
          <w:szCs w:val="26"/>
        </w:rPr>
        <w:t xml:space="preserve">PART B — SCORED ASSESSMENT</w:t>
      </w:r>
    </w:p>
    <w:p>
      <w:pPr>
        <w:spacing w:after="0" w:before="80"/>
      </w:pPr>
      <w:r>
        <w:t xml:space="preserve"/>
      </w:r>
    </w:p>
    <w:p>
      <w:pPr>
        <w:pStyle w:val="Heading2"/>
        <w:pBdr>
          <w:bottom w:val="single" w:color="2E75B6" w:sz="4"/>
        </w:pBdr>
        <w:spacing w:after="80" w:before="200"/>
      </w:pPr>
      <w:r>
        <w:rPr>
          <w:b/>
          <w:bCs/>
          <w:color w:val="2E75B6"/>
          <w:sz w:val="22"/>
          <w:szCs w:val="22"/>
        </w:rPr>
        <w:t xml:space="preserve">Moat Tier 1 — General Business Moat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Score</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Network Effects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C00000"/>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B2B venue/system sales — no platform dynamics; value does not increase as more customers join.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Switching Costs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375623"/>
                <w:sz w:val="20"/>
                <w:szCs w:val="20"/>
              </w:rPr>
              <w:t xml:space="preserv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Installation-specific 3D geometric profiles, calibration parameters, and alignment data stored in Artemis; recalibrating from scratch using another tool requires complete restart across all projectors.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Proprietary Data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C00000"/>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No documented proprietary training dataset or active learning loop; Majumder's academic research is published; no evidence of a customer data flywheel.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IP / Patents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375623"/>
                <w:sz w:val="20"/>
                <w:szCs w:val="20"/>
              </w:rPr>
              <w:t xml:space="preserv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8 US patents on projection/display systems filed by Majumder; SBIR-funded IP likely owned by STL (Bayh-Dole). CRITICAL FLAG: UCI assignment of academic patents unconfirmed — must resolve in diligence.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Regulatory Barriers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C00000"/>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No HIPAA, FedRAMP, CMMC, or other regulatory certifications documented. Defense expansion may require CMMC; currently a gap, not a moat.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Vertical Specialization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375623"/>
                <w:sz w:val="20"/>
                <w:szCs w:val="20"/>
              </w:rPr>
              <w:t xml:space="preserv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Deep domain expertise: 25+ years Majumder research, 60+ publications, 4 IEEE best paper awards, Disney Imagineering advisory — cannot be quickly replicated.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TOTAL</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3 / 6</w:t>
            </w:r>
          </w:p>
        </w:tc>
        <w:tc>
          <w:tcPr>
            <w:tcW w:type="dxa" w:w="6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Weak Moat — needs exceptional execution or strong team to compensate</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Moat Tier 2 — AI Moat (0–10)</w:t>
      </w:r>
    </w:p>
    <w:p>
      <w:r>
        <w:rPr>
          <w:b/>
          <w:bCs/>
          <w:color w:val="2E75B6"/>
          <w:sz w:val="20"/>
          <w:szCs w:val="20"/>
        </w:rPr>
        <w:t xml:space="preserve">Applicability: </w:t>
      </w:r>
      <w:r>
        <w:rPr>
          <w:color w:val="000000"/>
          <w:sz w:val="20"/>
          <w:szCs w:val="20"/>
        </w:rPr>
        <w:t xml:space="preserve">YES — Artemis is AI-first; computer vision is the core value delivery mechanism.</w:t>
      </w:r>
    </w:p>
    <w:p>
      <w:r>
        <w:rPr>
          <w:b/>
          <w:bCs/>
          <w:color w:val="2E75B6"/>
          <w:sz w:val="20"/>
          <w:szCs w:val="20"/>
        </w:rPr>
        <w:t xml:space="preserve">Thin Wrapper Tests: </w:t>
      </w:r>
      <w:r>
        <w:rPr>
          <w:color w:val="000000"/>
          <w:sz w:val="20"/>
          <w:szCs w:val="20"/>
        </w:rPr>
        <w:t xml:space="preserve">Test 1 (API Dependency) — PASS: custom geometric CV pipeline, not an LLM wrapper; could not be rebuilt in a weekend. Test 2 (Differentiation Source) — PASS: value from proprietary algorithms + workflow integration, not prompt engineering. Test 3 (Switching Cost) — PASS: installation-specific calibration data makes migration meaningfully painful.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560"/>
      </w:tblGrid>
      <w:tr>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AI Moat Category / Element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Points</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Evidence &amp; Rationale</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2E75B6"/>
                <w:sz w:val="20"/>
                <w:szCs w:val="20"/>
              </w:rPr>
              <w:t xml:space="preserve">COGNITIVE / DATA (max 4)</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2E75B6"/>
                <w:sz w:val="20"/>
                <w:szCs w:val="20"/>
              </w:rPr>
              <w:t xml:space="preserve">1 / 4</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  Training Data Moat [0/2]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No documented proprietary training dataset; Majumder's academic research is published and public; no evidence of curated multi-installation calibration corpora.</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  Inference Data Moat [0/1]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No documented active learning loop; calibration profiles generated per-installation but not aggregated back to improve central models.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  Memory Lock-in [1/1]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375623"/>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Artemis stores venue-specific 3D geometry, calibration parameters, and surface profiles per installation; accumulated context creates meaningful switching cost.</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2E75B6"/>
                <w:sz w:val="20"/>
                <w:szCs w:val="20"/>
              </w:rPr>
              <w:t xml:space="preserve">CAPITAL / COMPUTE (max 2)</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2E75B6"/>
                <w:sz w:val="20"/>
                <w:szCs w:val="20"/>
              </w:rPr>
              <w:t xml:space="preserve">0 / 2</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  Custom Model Training [0/1]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25 years of R&amp;D represent enormous historical investment but not a current ongoing compute barrier; no evidence of large-scale proprietary training infrastructure.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  Proprietary HW/Infra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Hardware-agnostic by design; no proprietary compute environment.</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2E75B6"/>
                <w:sz w:val="20"/>
                <w:szCs w:val="20"/>
              </w:rPr>
              <w:t xml:space="preserve">VERTICAL / WORKFLOW (max 4)</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2E75B6"/>
                <w:sz w:val="20"/>
                <w:szCs w:val="20"/>
              </w:rPr>
              <w:t xml:space="preserve">2 / 4</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  Deep Workflow Integration [2/2]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375623"/>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Artemis is embedded in permanent venue operations — PBS Studios, Discovery Cube, AFSOC command posts, Space Force simulations; native Unreal Engine integration places it inside the content pipeline.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  Regulatory / Compliance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No HIPAA, SOX, FedRAMP, or CMMC certifications documented; defense expansion will require these.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  Multi-sided Network Effects [0/1]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Not a multi-sided platform.</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AI MOAT TOTAL</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3 / 10</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Weak Moat — pass unless exceptional team + traction (both partially present)</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Risk Scoring (1 = lowest risk, 10 = highest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Risk Category</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Score</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Key Concern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Execution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B8860B"/>
                <w:sz w:val="20"/>
                <w:szCs w:val="20"/>
              </w:rPr>
              <w:t xml:space="preserve">7 / 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3–6 person team managing simultaneous defense + commercial deployments; Majumder/Gopi maintain full-time UCI roles; CEO Clark has no prior tech startup experience; COO identity unconfirmed.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Market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B8860B"/>
                <w:sz w:val="20"/>
                <w:szCs w:val="20"/>
              </w:rPr>
              <w:t xml:space="preserve">6 / 10</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Long government procurement cycles; incumbents embedding AI calibration; feature parity narrowing; 12–24 month window to establish durable moat.</w:t>
            </w:r>
          </w:p>
        </w:tc>
      </w:tr>
      <w:tr>
        <w:tc>
          <w:tcPr>
            <w:tcW w:type="dxa" w:w="2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b/>
                <w:bCs/>
                <w:color w:val="C00000"/>
                <w:sz w:val="20"/>
                <w:szCs w:val="20"/>
              </w:rPr>
              <w:t xml:space="preserve">Financial  ⚠️ CRITICAL</w:t>
            </w:r>
          </w:p>
        </w:tc>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b/>
                <w:bCs/>
                <w:color w:val="C00000"/>
                <w:sz w:val="20"/>
                <w:szCs w:val="20"/>
              </w:rPr>
              <w:t xml:space="preserve">8 / 10</w:t>
            </w:r>
          </w:p>
        </w:tc>
        <w:tc>
          <w:tcPr>
            <w:tcW w:type="dxa" w:w="61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b/>
                <w:bCs/>
                <w:color w:val="C00000"/>
                <w:sz w:val="20"/>
                <w:szCs w:val="20"/>
              </w:rPr>
              <w:t xml:space="preserve">$194K cash at Dec 31, 2025 + $750K bridge ≈ ~11 months runway at $85K/mo burn; 2025 revenue ~$480K is primarily non-recurring SBIR grants; no commercial ARR established; next round is existential.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Technical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375623"/>
                <w:sz w:val="20"/>
                <w:szCs w:val="20"/>
              </w:rPr>
              <w:t xml:space="preserve">4 / 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TRL 7–8 with working deployments at PBS Studios, Discovery Cube, AFSOC; main risks are CMMC/FedRAMP certification path for defense expansion and production scaling to 144+ projector deployments (NPIA LoI scope).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Competitive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B8860B"/>
                <w:sz w:val="20"/>
                <w:szCs w:val="20"/>
              </w:rPr>
              <w:t xml:space="preserve">7 / 10</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Scalable Display Technologies is entrenched 20-year incumbent in defense simulation; Panasonic ET-SWR10 and Christie Mystique directly compete; open-source alternatives (Omnidome, Splash) available free; AI Moat score 3/10 confirms thin defensibility.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AVERAGE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6.4 / 10</w:t>
            </w:r>
          </w:p>
        </w:tc>
        <w:tc>
          <w:tcPr>
            <w:tcW w:type="dxa" w:w="6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top"/>
          </w:tcPr>
          <w:p>
            <w:r>
              <w:rPr>
                <w:b/>
                <w:bCs/>
                <w:color w:val="1F3864"/>
                <w:sz w:val="20"/>
                <w:szCs w:val="20"/>
              </w:rPr>
              <w:t xml:space="preserve">Moderate risk — Financial Risk (8) is the critical flag; no deal-breakers (no score = 10; not 2+ scores ≥ 9)</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Market Sizing &amp;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Value</w:t>
            </w:r>
          </w:p>
        </w:tc>
        <w:tc>
          <w:tcPr>
            <w:tcW w:type="dxa" w:w="3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Founder TAM (claimed)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~$6.66B–$22B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Full projection mapping market — includes hardware, content, services. Flag: ~70–240x STL's realistic SAM.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Bottoms-Up SAM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$20M–$92M globally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Defense sim + themed entertainment + museums + planetariums + live events (software calibration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Market CAGR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21–23%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High growth — favorable timing.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Timing Score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4 / 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AI enablers mature + behavior shift + cost drop + pain point at critical mass. Missing: regulatory change catalyst.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TAM Consistency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C00000"/>
                <w:sz w:val="20"/>
                <w:szCs w:val="20"/>
              </w:rPr>
              <w:t xml:space="preserve">❌ INFLATED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Founder TAM likely &gt;3x bottoms-up SAM — flag for IC. Require bottoms-up sourcing in founder Q&amp;A.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2025 Revenue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~$480K</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SBIR $430K + Consulting $50K (~90% non-recurring grants).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Cash (Dec 31, 2025)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B8860B"/>
                <w:sz w:val="20"/>
                <w:szCs w:val="20"/>
              </w:rPr>
              <w:t xml:space="preserve">$194K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 $750K bridge note (signed Dec 2025) ≈ ~11 months runway at $85K/mo burn.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Revenue (Base Case 2030)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~$7.5M</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20"/>
                <w:szCs w:val="20"/>
              </w:rPr>
              <w:t xml:space="preserve">Bear $1.46M | Base $7.5M | Bull $22.4M. Base case exit ($37–60M at 5–8x revenue) may not reliably hit NWAi's 10x target — flag for 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Unit Economics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B8860B"/>
                <w:sz w:val="20"/>
                <w:szCs w:val="20"/>
              </w:rPr>
              <w:t xml:space="preserve">Unvalidated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20"/>
                <w:szCs w:val="20"/>
              </w:rPr>
              <w:t xml:space="preserve">No CAC, LTV, or churn data provided. Must request from founder.</w:t>
            </w:r>
          </w:p>
        </w:tc>
      </w:tr>
    </w:tbl>
    <w:p>
      <w:r>
        <w:br w:type="page"/>
      </w:r>
    </w:p>
    <w:p>
      <w:pPr>
        <w:pStyle w:val="Heading1"/>
        <w:shd w:fill="1F3864" w:val="clear"/>
        <w:spacing w:after="120" w:before="240"/>
      </w:pPr>
      <w:r>
        <w:rPr>
          <w:b/>
          <w:bCs/>
          <w:color w:val="FFFFFF"/>
          <w:sz w:val="26"/>
          <w:szCs w:val="26"/>
        </w:rPr>
        <w:t xml:space="preserve">PART C — 17-FOLDER DD ASSIGNMENT TABLE  [Hub]</w:t>
      </w:r>
    </w:p>
    <w:p>
      <w:r>
        <w:rPr>
          <w:i/>
          <w:iCs/>
          <w:color w:val="444444"/>
          <w:sz w:val="16"/>
          <w:szCs w:val="16"/>
        </w:rPr>
        <w:t xml:space="preserve">Single source of truth for findings, risks, and gate-critical questions. The Status / Key Question column embeds the one question that matters most per flagged folder. Gate-critical questions in Parts D and E reference these rows — they do not restate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Folder</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Pre-Populated Findings</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Status / Key Question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1. Cap Table &amp; Term Sheet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Bridge note term sheet (signed, Dec 2025). Prior convertible notes $600K outstanding. Seed round $1.3M (July 2022). Cap table Jan 6, 2026 on file (Majumder, Gopi, Clark, Bharati). Golden Seeds as lead investor. CRITICAL: 1.5x liquidation preference on note is non-standard.</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6"/>
                <w:szCs w:val="16"/>
              </w:rPr>
              <w:t xml:space="preserve">⚠️ Urgent</w:t>
            </w:r>
          </w:p>
          <w:p>
            <w:r>
              <w:rPr>
                <w:b/>
                <w:bCs/>
                <w:color w:val="000000"/>
                <w:sz w:val="16"/>
                <w:szCs w:val="16"/>
              </w:rPr>
              <w:t xml:space="preserve">Key Q: </w:t>
            </w:r>
            <w:r>
              <w:rPr>
                <w:color w:val="000000"/>
                <w:sz w:val="16"/>
                <w:szCs w:val="16"/>
              </w:rPr>
              <w:t xml:space="preserve">Provide fully diluted cap table at all conversion scenarios. Model 1.5x liquidation preference impact on exit.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2. Financial Model &amp; NWA Assessment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2025 Actuals: Revenue $480K (SBIR + consulting), Net Loss ($861K), Cash $194K, Burn ~$85K/mo. Non-cash Sec. 174 amortization $441K/year inflates net loss. Bear/Base/Bull model seeded: Base $7.5M ARR by 2030. NWAi model needed to stress-test NPIA contract conversion, Panasonic run-rate, and SBIR Phase 3 eligibility.</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6"/>
                <w:szCs w:val="16"/>
              </w:rPr>
              <w:t xml:space="preserve">⚠️ Urgent</w:t>
            </w:r>
          </w:p>
          <w:p>
            <w:r>
              <w:rPr>
                <w:b/>
                <w:bCs/>
                <w:color w:val="000000"/>
                <w:sz w:val="16"/>
                <w:szCs w:val="16"/>
              </w:rPr>
              <w:t xml:space="preserve">Key Q: </w:t>
            </w:r>
            <w:r>
              <w:rPr>
                <w:color w:val="000000"/>
                <w:sz w:val="16"/>
                <w:szCs w:val="16"/>
              </w:rPr>
              <w:t xml:space="preserve">Has $750K bridge been funded? What is current cash? Provide recurring vs. one-time revenue breakdown. Share Panasonic revenue terms (royalty rate, per-unit, or license fee).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3. Pitch Deck(s) &amp; Business Plan</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Scout Assessment Report on file (2026-03-17). Golden Seeds investment memo (Dec 2024) on file. Demo transcript (Jan 2026) on file. Full current pitch deck not yet provided.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Request current pitch deck from founder.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4. Competition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Direct competitors: Scalable Display Technologies (entrenched defense leader), Vioso, Christie Mystique, Barco Auto-Alignment, Panasonic ET-SWR10. Open-source alternatives: Omnidome, Splash, MapMap. AI Moat 3/10 — Weak. Feature parity narrowing with incumbents.</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6"/>
                <w:szCs w:val="16"/>
              </w:rPr>
              <w:t xml:space="preserve">⚠️ Urgent</w:t>
            </w:r>
          </w:p>
          <w:p>
            <w:r>
              <w:rPr>
                <w:b/>
                <w:bCs/>
                <w:color w:val="000000"/>
                <w:sz w:val="16"/>
                <w:szCs w:val="16"/>
              </w:rPr>
              <w:t xml:space="preserve">Key Q: </w:t>
            </w:r>
            <w:r>
              <w:rPr>
                <w:color w:val="000000"/>
                <w:sz w:val="16"/>
                <w:szCs w:val="16"/>
              </w:rPr>
              <w:t xml:space="preserve">Where has STL won against Scalable Display or Christie? Provide win/loss data and documented competitive displacement evidence.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5. Customer Problem Being Solved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Manual multi-projector calibration: hours/days, requires skilled technicians, costs $10K–$50K+ per installation. Artemis reduces to &lt;4 minutes. Validated by PBS Studios, Discovery Cube, AFSOC, Space Force SBIR Phase 2. Strong ROI case. Decision-makers: AV integrators, defense procurement, venue tech directors.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Independently validate customer ROI claims; get 2–3 reference calls.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6. DD Team Communications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DD Lead to capture all deliberations.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444444"/>
                <w:sz w:val="16"/>
                <w:szCs w:val="16"/>
              </w:rPr>
              <w:t xml:space="preserve">DD Lead assign.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7. Executive Summary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This DD Kickoff Package serves as the initial DD brief. Two-page IC summary to be generated after 17-folder work completes.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DD Lead — produce after folder work done.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8. Exit Assessment &amp; Risks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Logical acquirers: Christie Digital, Barco, Scalable Display, or a defense prime (Leidos, L3Harris, KBR). Base case exit $37–60M at $7.5M ARR × 5–8x multiple — may not hit NWAi 10x target at $5–10M post-money entry. Bull case ($22.4M ARR × 6x = $134M) achievable. Biggest exit risk: Panasonic acquires STL cheaply given distribution dependency.</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6"/>
                <w:szCs w:val="16"/>
              </w:rPr>
              <w:t xml:space="preserve">⚠️ Urgent</w:t>
            </w:r>
          </w:p>
          <w:p>
            <w:r>
              <w:rPr>
                <w:b/>
                <w:bCs/>
                <w:color w:val="000000"/>
                <w:sz w:val="16"/>
                <w:szCs w:val="16"/>
              </w:rPr>
              <w:t xml:space="preserve">Key Q: </w:t>
            </w:r>
            <w:r>
              <w:rPr>
                <w:color w:val="000000"/>
                <w:sz w:val="16"/>
                <w:szCs w:val="16"/>
              </w:rPr>
              <w:t xml:space="preserve">Model exit scenarios at NWAi entry valuation. Identify top 3 acquirers with rationale. Does Base case support 10x?</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9. Go-to-Market Plan</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GTM is primarily partner-led (Panasonic distribution for commercial; SBIR/AFSOC for defense). David Snyder (VP Sales) leads commercial. CRITICAL: GTM is single-point-of-failure on Panasonic. No direct sales motion. LTV/CAC data not available. $300K completed vs. $1.6M contracted gap.</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6"/>
                <w:szCs w:val="16"/>
              </w:rPr>
              <w:t xml:space="preserve">⚠️ Urgent</w:t>
            </w:r>
          </w:p>
          <w:p>
            <w:r>
              <w:rPr>
                <w:b/>
                <w:bCs/>
                <w:color w:val="000000"/>
                <w:sz w:val="16"/>
                <w:szCs w:val="16"/>
              </w:rPr>
              <w:t xml:space="preserve">Key Q: </w:t>
            </w:r>
            <w:r>
              <w:rPr>
                <w:color w:val="000000"/>
                <w:sz w:val="16"/>
                <w:szCs w:val="16"/>
              </w:rPr>
              <w:t xml:space="preserve">Provide Panasonic exclusivity/competition clauses. Describe commercial pipeline beyond Panasonic. Share CAC and LTV data.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10. Intellectual Property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8 US patents — Majumder. SBIR Phase 2 IP likely STL-owned (Bayh-Dole). CRITICAL: US9064312B2 (Aug 2015) is assigned to UC Irvine — has this been licensed to STL? What are royalty terms? Does UCI have M&amp;A consent rights? No recent STL-owned patents found in search.</w:t>
            </w:r>
          </w:p>
        </w:tc>
        <w:tc>
          <w:tcPr>
            <w:tcW w:type="dxa" w:w="3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b/>
                <w:bCs/>
                <w:color w:val="C00000"/>
                <w:sz w:val="16"/>
                <w:szCs w:val="16"/>
              </w:rPr>
              <w:t xml:space="preserve">❌ Gate-critical — resolve before advancing full DD.</w:t>
            </w:r>
          </w:p>
          <w:p>
            <w:r>
              <w:rPr>
                <w:b/>
                <w:bCs/>
                <w:color w:val="000000"/>
                <w:sz w:val="16"/>
                <w:szCs w:val="16"/>
              </w:rPr>
              <w:t xml:space="preserve">Key Q: </w:t>
            </w:r>
            <w:r>
              <w:rPr>
                <w:color w:val="000000"/>
                <w:sz w:val="16"/>
                <w:szCs w:val="16"/>
              </w:rPr>
              <w:t xml:space="preserve">Is US9064312B2 STL-owned or UCI-licensed? What are royalty terms? Does UCI hold M&amp;A consent rights on any exit?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11. Timeline to Market / Milestones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TRL 7–8 (working operational deployments). Key milestones: NPIA 144-projector deployment (LOI signed, $1.1M — timeline unclear), SBIR Phase 2 completion and Phase 3 application, Series A fundraise. CMMC certification likely required for larger defense contracts.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Request milestone chart and SBIR Phase 2 end date + Phase 3 eligibility.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12. Management Team / Board / Advisors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CEO: Maj Gen Stephen Clark (USAF Ret.) — no prior tech startup experience; strong defense relationships. CTO/Founder: Dr. Aditi Majumder — 25+ years domain expertise, maintains UCI professor role. Co-Founder/Technical Advisor: Gopi — maintains UCI Associate Dean role. VP Sales: David Snyder. COO: 'CP' — identity unconfirmed. No independent board members identified.</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r>
              <w:rPr>
                <w:b/>
                <w:bCs/>
                <w:color w:val="B8860B"/>
                <w:sz w:val="16"/>
                <w:szCs w:val="16"/>
              </w:rPr>
              <w:t xml:space="preserve">⚠️ Urgent</w:t>
            </w:r>
          </w:p>
          <w:p>
            <w:r>
              <w:rPr>
                <w:b/>
                <w:bCs/>
                <w:color w:val="000000"/>
                <w:sz w:val="16"/>
                <w:szCs w:val="16"/>
              </w:rPr>
              <w:t xml:space="preserve">Key Q: </w:t>
            </w:r>
            <w:r>
              <w:rPr>
                <w:color w:val="000000"/>
                <w:sz w:val="16"/>
                <w:szCs w:val="16"/>
              </w:rPr>
              <w:t xml:space="preserve">Confirm COO identity. Will Majumder/Gopi formally reduce UCI roles post-Series A? Run background checks on Clark, Majumder, Ibrahim. Confirm board structure.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13. Manufacturing / Product Status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Software-only product — no manufacturing plan required. Artemis is pure software (Windows/Linux). GA for core calibration pipeline; scaling to 144-projector NPIA deployment will stress-test production readiness. Deployment infrastructure is customer-provided.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Verify software deployment process for large-scale (100+ projector) installations.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14. Market Size / Segments / Target Customers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Projection mapping software SAM: $20M–$92M globally (bottoms-up). Founder TAM of $6.66B–$22B is inflated (includes hardware, content, services). Top segments: Defense simulation ($6M–$27M), themed entertainment ($0.6M–$4M), museums ($0.75M–$3M). CAGR 21–23%. Timing score 4/5.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444444"/>
                <w:sz w:val="16"/>
                <w:szCs w:val="16"/>
              </w:rPr>
              <w:t xml:space="preserve">Request founder's own TAM/SAM model for cross-check.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15. Historical Financials / Balance Sheet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2025 P&amp;L, Balance Sheet, Cash Flow on file. Revenue $480K, Net Loss ($861K), Cash $194K, Convertible Notes $600K, Capitalized R&amp;D net $1.15M. Articles of incorporation on file. Bridge term sheet on file. Tax returns and 2022–2024 financials not yet provided.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Request 2022–2024 financial statements and tax returns; verify $600K note structure.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16. Product Promise / Testing / Status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Product promise: automated calibration in &lt;4 minutes on any surface geometry, hardware-agnostic. Validated by: live product demo (Jan 2026), PBS Studios, Discovery Cube (LA/OC), AFSOC Decision Pod, Space Force SBIR Phase 2. SID DisplayWeek 2025 'Most Innovative Product' and 'Best Prototype' awards. TRL 7–8.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444444"/>
                <w:sz w:val="16"/>
                <w:szCs w:val="16"/>
              </w:rPr>
              <w:t xml:space="preserve">Request demo access or video evidence of 144-projector-scale deployment; probe dynamic surface roadmap.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17. Recordings of Company Presentations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Product demo transcript (Jan 2026, WEBVTT, on file). Golden Seeds investment memo recording not confirmed. NWA intro call recording to be captured.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444444"/>
                <w:sz w:val="16"/>
                <w:szCs w:val="16"/>
              </w:rPr>
              <w:t xml:space="preserve">DD Lead — capture all future recordings.</w:t>
            </w:r>
          </w:p>
        </w:tc>
      </w:tr>
    </w:tbl>
    <w:p>
      <w:r>
        <w:br w:type="page"/>
      </w:r>
    </w:p>
    <w:p>
      <w:pPr>
        <w:pStyle w:val="Heading1"/>
        <w:shd w:fill="1F3864" w:val="clear"/>
        <w:spacing w:after="120" w:before="240"/>
      </w:pPr>
      <w:r>
        <w:rPr>
          <w:b/>
          <w:bCs/>
          <w:color w:val="FFFFFF"/>
          <w:sz w:val="26"/>
          <w:szCs w:val="26"/>
        </w:rPr>
        <w:t xml:space="preserve">PART D — FOUNDER QUESTIONS (SCORING INPUTS)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60"/>
              <w:left w:type="dxa" w:w="100"/>
              <w:bottom w:type="dxa" w:w="60"/>
              <w:right w:type="dxa" w:w="100"/>
            </w:tcMar>
            <w:vAlign w:val="top"/>
          </w:tcPr>
          <w:p>
            <w:r>
              <w:rPr>
                <w:b/>
                <w:bCs/>
                <w:color w:val="2E75B6"/>
                <w:sz w:val="18"/>
                <w:szCs w:val="18"/>
              </w:rPr>
              <w:t xml:space="preserve">Note: </w:t>
            </w:r>
            <w:r>
              <w:rPr>
                <w:color w:val="000000"/>
                <w:sz w:val="18"/>
                <w:szCs w:val="18"/>
              </w:rPr>
              <w:t xml:space="preserve">Gate-critical questions are embedded in Part C (Folders 1, 2, 4, 8, 9, 10, 12). The questions below are needed to complete rubric scoring — they do not duplicate Part C.</w:t>
            </w:r>
          </w:p>
        </w:tc>
      </w:tr>
    </w:tbl>
    <w:p>
      <w:pPr>
        <w:spacing w:after="0" w:before="100"/>
      </w:pPr>
      <w:r>
        <w:t xml:space="preserve"/>
      </w:r>
    </w:p>
    <w:p>
      <w:pPr>
        <w:pStyle w:val="Heading2"/>
        <w:pBdr>
          <w:bottom w:val="single" w:color="2E75B6" w:sz="4"/>
        </w:pBdr>
        <w:spacing w:after="80" w:before="200"/>
      </w:pPr>
      <w:r>
        <w:rPr>
          <w:b/>
          <w:bCs/>
          <w:color w:val="2E75B6"/>
          <w:sz w:val="22"/>
          <w:szCs w:val="22"/>
        </w:rPr>
        <w:t xml:space="preserve">Scoring Inputs — Needed to Complete Rubric Scoring</w:t>
      </w:r>
    </w:p>
    <w:p>
      <w:r>
        <w:rPr>
          <w:i/>
          <w:iCs/>
          <w:color w:val="444444"/>
          <w:sz w:val="16"/>
          <w:szCs w:val="16"/>
        </w:rPr>
        <w:t xml:space="preserve">Answers below will directly update Moat, Risk, and Financial model scores in Part 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9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Scoring Input Question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Revenue Breakdown: </w:t>
            </w:r>
            <w:r>
              <w:rPr>
                <w:color w:val="000000"/>
                <w:sz w:val="16"/>
                <w:szCs w:val="16"/>
              </w:rPr>
              <w:t xml:space="preserve">Of the ~$480K 2025 revenue, how much is recurring (software licensing, subscription) vs. one-time (SBIR grants, consulting)? What is the current ARR from commercial customers specifically?</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2</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Pricing Model: </w:t>
            </w:r>
            <w:r>
              <w:rPr>
                <w:color w:val="000000"/>
                <w:sz w:val="16"/>
                <w:szCs w:val="16"/>
              </w:rPr>
              <w:t xml:space="preserve">How is Artemis priced? Per-installation perpetual license, annual SaaS subscription, per-projector, or usage-based? What is the typical annual contract value (ACV) for a commercial deployment and a defense deployment?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3</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Unit Economics: </w:t>
            </w:r>
            <w:r>
              <w:rPr>
                <w:color w:val="000000"/>
                <w:sz w:val="16"/>
                <w:szCs w:val="16"/>
              </w:rPr>
              <w:t xml:space="preserve">What is the current customer acquisition cost (CAC)? What is the estimated lifetime value (LTV) for a commercial customer and a government customer? What is annual churn rate (if any) on existing deployments?</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4</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Data Flywheel: </w:t>
            </w:r>
            <w:r>
              <w:rPr>
                <w:color w:val="000000"/>
                <w:sz w:val="16"/>
                <w:szCs w:val="16"/>
              </w:rPr>
              <w:t xml:space="preserve">Does Artemis collect calibration data from customer installations and use it to continuously retrain or improve its CV models? How many unique surface geometries has the system been calibrated on to date?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5</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Defense Certifications: </w:t>
            </w:r>
            <w:r>
              <w:rPr>
                <w:color w:val="000000"/>
                <w:sz w:val="16"/>
                <w:szCs w:val="16"/>
              </w:rPr>
              <w:t xml:space="preserve">What government security certifications does Artemis currently hold? Is CMMC Level 2 or FedRAMP authorization planned for larger defense contracts? What is the timeline and cost estimate?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6</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Scalable Display Head-to-Head: </w:t>
            </w:r>
            <w:r>
              <w:rPr>
                <w:color w:val="000000"/>
                <w:sz w:val="16"/>
                <w:szCs w:val="16"/>
              </w:rPr>
              <w:t xml:space="preserve">Where has STL won against Scalable Display Technologies in defense simulation? What was the decision criteria? Is there documented evidence of competitive displacement?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7</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SBIR Phase 2 Details: </w:t>
            </w:r>
            <w:r>
              <w:rPr>
                <w:color w:val="000000"/>
                <w:sz w:val="16"/>
                <w:szCs w:val="16"/>
              </w:rPr>
              <w:t xml:space="preserve">What is the total SBIR Phase 2 award amount, period of performance, and end date? Is STL eligible for SBIR Phase 3 (direct-to-agency contract)?</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8</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NPIA LoI Status: </w:t>
            </w:r>
            <w:r>
              <w:rPr>
                <w:color w:val="000000"/>
                <w:sz w:val="16"/>
                <w:szCs w:val="16"/>
              </w:rPr>
              <w:t xml:space="preserve">Is the $1.1M NPIA government LoI a binding contract or a letter of intent? What are the specific payment milestones, deliverable specifications, and projected start date for the 144-projector deployment?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9</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Headcount &amp; Burn Rate: </w:t>
            </w:r>
            <w:r>
              <w:rPr>
                <w:color w:val="000000"/>
                <w:sz w:val="16"/>
                <w:szCs w:val="16"/>
              </w:rPr>
              <w:t xml:space="preserve">Provide the current org chart and headcount by function. What is the monthly cash burn (gross)? What does the headcount plan look like for 2026–2027?</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10</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Series A Plans: </w:t>
            </w:r>
            <w:r>
              <w:rPr>
                <w:color w:val="000000"/>
                <w:sz w:val="16"/>
                <w:szCs w:val="16"/>
              </w:rPr>
              <w:t xml:space="preserve">What is the target Series A raise amount, pre-money valuation expectation, and timeline? Are there prospective lead investors engaged? What does the use of proceeds breakdown look like?</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Nice to Have</w:t>
      </w:r>
    </w:p>
    <w:p>
      <w:r>
        <w:rPr>
          <w:i/>
          <w:iCs/>
          <w:color w:val="444444"/>
          <w:sz w:val="16"/>
          <w:szCs w:val="16"/>
        </w:rPr>
        <w:t xml:space="preserve">These items add texture and depth but will not block the DD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9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Nice to Have (Enriches analysis; not blocking)</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Competitive Benchmarking: </w:t>
            </w:r>
            <w:r>
              <w:rPr>
                <w:color w:val="000000"/>
                <w:sz w:val="16"/>
                <w:szCs w:val="16"/>
              </w:rPr>
              <w:t xml:space="preserve">Has STL conducted any third-party or internal benchmarking of Artemis against Vioso, Christie Mystique, or Panasonic ET-SWR10 on calibration accuracy, setup time, and cost?</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2</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Golden Seeds Board Structure: </w:t>
            </w:r>
            <w:r>
              <w:rPr>
                <w:color w:val="000000"/>
                <w:sz w:val="16"/>
                <w:szCs w:val="16"/>
              </w:rPr>
              <w:t xml:space="preserve">Does Golden Seeds hold a board seat or observer rights? Has there been any discussion of follow-on investment in the Series A?</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3</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Market Sizing Model: </w:t>
            </w:r>
            <w:r>
              <w:rPr>
                <w:color w:val="000000"/>
                <w:sz w:val="16"/>
                <w:szCs w:val="16"/>
              </w:rPr>
              <w:t xml:space="preserve">What TAM/SAM/SOM has the founding team modeled internally? Which verticals are the primary growth focus for 2026–2028?</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4</w:t>
            </w:r>
          </w:p>
        </w:tc>
        <w:tc>
          <w:tcPr>
            <w:tcW w:type="dxa" w:w="9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Dynamic Surface Roadmap: </w:t>
            </w:r>
            <w:r>
              <w:rPr>
                <w:color w:val="000000"/>
                <w:sz w:val="16"/>
                <w:szCs w:val="16"/>
              </w:rPr>
              <w:t xml:space="preserve">What is the product roadmap for real-time dynamic/deformable surface calibration? Timeline to production? Competitive advantage vs. Panasonic's 240Hz real-time tracking?</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5</w:t>
            </w:r>
          </w:p>
        </w:tc>
        <w:tc>
          <w:tcPr>
            <w:tcW w:type="dxa" w:w="9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COO Identity: </w:t>
            </w:r>
            <w:r>
              <w:rPr>
                <w:color w:val="000000"/>
                <w:sz w:val="16"/>
                <w:szCs w:val="16"/>
              </w:rPr>
              <w:t xml:space="preserve">Who currently holds the COO role ('CP' referenced in investor materials)? What is their background and full-time commitment?</w:t>
            </w:r>
          </w:p>
        </w:tc>
      </w:tr>
    </w:tbl>
    <w:p>
      <w:r>
        <w:br w:type="page"/>
      </w:r>
    </w:p>
    <w:p>
      <w:pPr>
        <w:pStyle w:val="Heading1"/>
        <w:shd w:fill="1F3864" w:val="clear"/>
        <w:spacing w:after="120" w:before="240"/>
      </w:pPr>
      <w:r>
        <w:rPr>
          <w:b/>
          <w:bCs/>
          <w:color w:val="FFFFFF"/>
          <w:sz w:val="26"/>
          <w:szCs w:val="26"/>
        </w:rPr>
        <w:t xml:space="preserve">PART E — RECOMMENDED NEXT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Verdict</w:t>
            </w:r>
          </w:p>
        </w:tc>
        <w:tc>
          <w:tcPr>
            <w:tcW w:type="dxa" w:w="6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r>
              <w:rPr>
                <w:b/>
                <w:bCs/>
                <w:color w:val="375623"/>
                <w:sz w:val="20"/>
                <w:szCs w:val="20"/>
              </w:rPr>
              <w:t xml:space="preserve">⚡ ADVANCE WITH CONDITIONS</w:t>
            </w:r>
          </w:p>
        </w:tc>
        <w:tc>
          <w:tcPr>
            <w:tcW w:type="dxa" w:w="6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r>
              <w:rPr>
                <w:color w:val="000000"/>
                <w:sz w:val="20"/>
                <w:szCs w:val="20"/>
              </w:rPr>
              <w:t xml:space="preserve">Moat Tier 1 is 3/6 (Weak — at threshold); AI Moat is 3/10 (Weak); Risk average is 6.4/10 (Moderate); Financial Risk is 8/10 (Critical). No single deal-breaker score of 10. No 2+ scores at 9+. The exceptional founding team (Majumder's 25-year domain depth, Clark's defense relationships) and meaningful government traction (SBIR Phase 2, NPIA LoI, Panasonic distribution) justify advancing — but the three gate-critical conditions in Part C must be satisfied first.</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Recommended DD Actions</w:t>
      </w:r>
    </w:p>
    <w:p>
      <w:r>
        <w:rPr>
          <w:i/>
          <w:iCs/>
          <w:color w:val="444444"/>
          <w:sz w:val="16"/>
          <w:szCs w:val="16"/>
        </w:rPr>
        <w:t xml:space="preserve">Execute in priority order once Part C gate-critical conditions (Folders 10, 2, 1) are cleared.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8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b/>
                <w:bCs/>
                <w:color w:val="FFFFFF"/>
                <w:sz w:val="18"/>
                <w:szCs w:val="18"/>
              </w:rPr>
              <w:t xml:space="preserve">Recommended DD Action (once Part C gate-critical conditions are cleared)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Assign DD team to 17-folder checklist. Priority folders: 10 (IP), 2 (Financial Model), 1 (Cap Table), 8 (Exit Assessment), 9 (GTM), 12 (Management Team). Schedule founder call within 5 business days to work through Part C gate-critical questions.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2</w:t>
            </w:r>
          </w:p>
        </w:tc>
        <w:tc>
          <w:tcPr>
            <w:tcW w:type="dxa" w:w="8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Commission independent technical review of Artemis vs. Scalable Display Technologies and Panasonic ET-SWR10. Engage a TechGroup SME with AV simulation or defense display experience to assess competitive differentiation and moat durability.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Request 2–3 customer reference calls (PBS Studios/Panasonic, AFSOC, Discovery Cube). Validate deployment experience, switching cost perception, and likelihood of contract renewal/expansion.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1F3864"/>
                <w:sz w:val="16"/>
                <w:szCs w:val="16"/>
              </w:rPr>
              <w:t xml:space="preserve">4</w:t>
            </w:r>
          </w:p>
        </w:tc>
        <w:tc>
          <w:tcPr>
            <w:tcW w:type="dxa" w:w="8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Build NWAi independent financial model. Use 2025 actuals as baseline; stress-test NPIA LoI conversion timeline, Panasonic run-rate, and SBIR Phase 3 prospects. Confirm whether Base case exit supports 10x NWAi return; document gap for IC if not.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b/>
                <w:bCs/>
                <w:color w:val="1F3864"/>
                <w:sz w:val="16"/>
                <w:szCs w:val="16"/>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color w:val="000000"/>
                <w:sz w:val="16"/>
                <w:szCs w:val="16"/>
              </w:rPr>
              <w:t xml:space="preserve">Legal review of bridge note (1.5x liquidation preference clause), Panasonic contract (exclusivity, competition provisions), and UCI patent licensing arrangement.</w:t>
            </w:r>
          </w:p>
        </w:tc>
      </w:tr>
    </w:tbl>
    <w:p>
      <w:pPr>
        <w:spacing w:after="0" w:before="120"/>
      </w:pPr>
      <w:r>
        <w:t xml:space="preserve"/>
      </w:r>
    </w:p>
    <w:p>
      <w:pPr>
        <w:pStyle w:val="Heading2"/>
        <w:pBdr>
          <w:bottom w:val="single" w:color="2E75B6" w:sz="4"/>
        </w:pBdr>
        <w:spacing w:after="80" w:before="200"/>
      </w:pPr>
      <w:r>
        <w:rPr>
          <w:b/>
          <w:bCs/>
          <w:color w:val="2E75B6"/>
          <w:sz w:val="22"/>
          <w:szCs w:val="22"/>
        </w:rPr>
        <w:t xml:space="preserve">Kill Conditions</w:t>
      </w:r>
    </w:p>
    <w:p>
      <w:r>
        <w:rPr>
          <w:i/>
          <w:iCs/>
          <w:color w:val="444444"/>
          <w:sz w:val="16"/>
          <w:szCs w:val="16"/>
        </w:rPr>
        <w:t xml:space="preserve">If any of the following cannot be satisfactorily resolved within 2–3 weeks, apply the verdict shown. Full condition detail is in Part 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r>
              <w:rPr>
                <w:b/>
                <w:bCs/>
                <w:color w:val="FFFFFF"/>
                <w:sz w:val="18"/>
                <w:szCs w:val="18"/>
              </w:rPr>
              <w:t xml:space="preserve">Kill Condition</w:t>
            </w:r>
          </w:p>
        </w:tc>
        <w:tc>
          <w:tcPr>
            <w:tcW w:type="dxa" w:w="41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r>
              <w:rPr>
                <w:b/>
                <w:bCs/>
                <w:color w:val="FFFFFF"/>
                <w:sz w:val="18"/>
                <w:szCs w:val="18"/>
              </w:rPr>
              <w:t xml:space="preserve">Trigger</w:t>
            </w:r>
          </w:p>
        </w:tc>
        <w:tc>
          <w:tcPr>
            <w:tcW w:type="dxa" w:w="28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r>
              <w:rPr>
                <w:b/>
                <w:bCs/>
                <w:color w:val="FFFFFF"/>
                <w:sz w:val="18"/>
                <w:szCs w:val="18"/>
              </w:rPr>
              <w:t xml:space="preserve">Verdict</w:t>
            </w:r>
          </w:p>
        </w:tc>
      </w:tr>
      <w:tr>
        <w:tc>
          <w:tcPr>
            <w:tcW w:type="dxa" w:w="2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b/>
                <w:bCs/>
                <w:color w:val="000000"/>
                <w:sz w:val="16"/>
                <w:szCs w:val="16"/>
              </w:rPr>
              <w:t xml:space="preserve">UCI IP Unresolved</w:t>
            </w:r>
          </w:p>
        </w:tc>
        <w:tc>
          <w:tcPr>
            <w:tcW w:type="dxa" w:w="41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color w:val="000000"/>
                <w:sz w:val="16"/>
                <w:szCs w:val="16"/>
              </w:rPr>
              <w:t xml:space="preserve">STL does not own core Artemis IP; UCI licensing terms are onerous (high royalties, M&amp;A consent rights, restrictive exit provisions).</w:t>
            </w:r>
          </w:p>
        </w:tc>
        <w:tc>
          <w:tcPr>
            <w:tcW w:type="dxa" w:w="2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r>
              <w:rPr>
                <w:b/>
                <w:bCs/>
                <w:color w:val="C00000"/>
                <w:sz w:val="16"/>
                <w:szCs w:val="16"/>
              </w:rPr>
              <w:t xml:space="preserve">❌ Pass</w:t>
            </w:r>
            <w:r>
              <w:rPr>
                <w:color w:val="000000"/>
                <w:sz w:val="16"/>
                <w:szCs w:val="16"/>
              </w:rPr>
              <w:t xml:space="preserve"> — structural deal-breaker; no workaround.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000000"/>
                <w:sz w:val="16"/>
                <w:szCs w:val="16"/>
              </w:rPr>
              <w:t xml:space="preserve">Runway Critical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color w:val="000000"/>
                <w:sz w:val="16"/>
                <w:szCs w:val="16"/>
              </w:rPr>
              <w:t xml:space="preserve">Bridge not funded; cash confirmed below 6 months from today; no credible Series A path within 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b/>
                <w:bCs/>
                <w:color w:val="B8860B"/>
                <w:sz w:val="16"/>
                <w:szCs w:val="16"/>
              </w:rPr>
              <w:t xml:space="preserve">⏸ Watch</w:t>
            </w:r>
            <w:r>
              <w:rPr>
                <w:color w:val="000000"/>
                <w:sz w:val="16"/>
                <w:szCs w:val="16"/>
              </w:rPr>
              <w:t xml:space="preserve"> — re-evaluate when bridge closes and runway confirmed.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000000"/>
                <w:sz w:val="16"/>
                <w:szCs w:val="16"/>
              </w:rPr>
              <w:t xml:space="preserve">No Commercial ARR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color w:val="000000"/>
                <w:sz w:val="16"/>
                <w:szCs w:val="16"/>
              </w:rPr>
              <w:t xml:space="preserve">All 2025 revenue is non-recurring government grants; zero commercial subscription or licensing revenue from paying non-government customers.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b/>
                <w:bCs/>
                <w:color w:val="B8860B"/>
                <w:sz w:val="16"/>
                <w:szCs w:val="16"/>
              </w:rPr>
              <w:t xml:space="preserve">⏸ Watch</w:t>
            </w:r>
            <w:r>
              <w:rPr>
                <w:color w:val="000000"/>
                <w:sz w:val="16"/>
                <w:szCs w:val="16"/>
              </w:rPr>
              <w:t xml:space="preserve"> — re-evaluate when first commercial ARR customer is signed.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color w:val="888888"/>
        <w:sz w:val="16"/>
        <w:szCs w:val="16"/>
      </w:rPr>
      <w:t xml:space="preserve">NWAi Investment Intelligence  |  March 2026</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pPr>
    <w:r>
      <w:rPr>
        <w:color w:val="888888"/>
        <w:sz w:val="16"/>
        <w:szCs w:val="16"/>
      </w:rPr>
      <w:t xml:space="preserve">NWAi TechGroup  |  DD Kickoff Package — Revised Format  |  Summit Technology Laboratory (STL)</w:t>
    </w:r>
    <w:r>
      <w:rPr>
        <w:sz w:val="16"/>
        <w:szCs w:val="16"/>
      </w:rPr>
      <w:t xml:space="preserve">	</w:t>
    </w:r>
    <w:r>
      <w:rPr>
        <w:b/>
        <w:bCs/>
        <w:color w:val="C0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24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2026-03-19T23:51:34.982Z</dcterms:created>
  <dcterms:modified xsi:type="dcterms:W3CDTF">2026-03-19T23:51:34.982Z</dcterms:modified>
</cp:coreProperties>
</file>

<file path=docProps/custom.xml><?xml version="1.0" encoding="utf-8"?>
<Properties xmlns="http://schemas.openxmlformats.org/officeDocument/2006/custom-properties" xmlns:vt="http://schemas.openxmlformats.org/officeDocument/2006/docPropsVTypes"/>
</file>