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5A251" w14:textId="77777777" w:rsidR="000E1629" w:rsidRDefault="00000000">
      <w:pPr>
        <w:spacing w:after="80"/>
      </w:pPr>
      <w:r>
        <w:rPr>
          <w:b/>
          <w:bCs/>
          <w:color w:val="1F3864"/>
          <w:sz w:val="52"/>
          <w:szCs w:val="52"/>
        </w:rPr>
        <w:t>Summit Technology Laboratory</w:t>
      </w:r>
    </w:p>
    <w:p w14:paraId="6BB0E98C" w14:textId="77777777" w:rsidR="000E1629" w:rsidRDefault="00000000">
      <w:pPr>
        <w:spacing w:after="60"/>
      </w:pPr>
      <w:proofErr w:type="spellStart"/>
      <w:r>
        <w:rPr>
          <w:color w:val="444444"/>
          <w:sz w:val="26"/>
          <w:szCs w:val="26"/>
        </w:rPr>
        <w:t>NWAi</w:t>
      </w:r>
      <w:proofErr w:type="spellEnd"/>
      <w:r>
        <w:rPr>
          <w:color w:val="444444"/>
          <w:sz w:val="26"/>
          <w:szCs w:val="26"/>
        </w:rPr>
        <w:t xml:space="preserve"> TechGroup Scout Assessment</w:t>
      </w:r>
    </w:p>
    <w:p w14:paraId="7CFC7DD1" w14:textId="77777777" w:rsidR="000E1629" w:rsidRDefault="00000000">
      <w:pPr>
        <w:spacing w:after="120"/>
      </w:pPr>
      <w:r>
        <w:rPr>
          <w:color w:val="666666"/>
        </w:rPr>
        <w:t>Scout Date: March 17,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E1629" w14:paraId="5A97017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7145"/>
            <w:tcMar>
              <w:top w:w="120" w:type="dxa"/>
              <w:left w:w="200" w:type="dxa"/>
              <w:bottom w:w="120" w:type="dxa"/>
              <w:right w:w="200" w:type="dxa"/>
            </w:tcMar>
          </w:tcPr>
          <w:p w14:paraId="7D73B295" w14:textId="77777777" w:rsidR="000E1629" w:rsidRDefault="00000000">
            <w:r>
              <w:rPr>
                <w:b/>
                <w:bCs/>
                <w:color w:val="FFFFFF"/>
                <w:sz w:val="28"/>
                <w:szCs w:val="28"/>
              </w:rPr>
              <w:t>ADVANCE TO DILIGENCE</w:t>
            </w:r>
          </w:p>
        </w:tc>
      </w:tr>
    </w:tbl>
    <w:p w14:paraId="6E208F31" w14:textId="77777777" w:rsidR="000E1629" w:rsidRDefault="000E162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E1629" w14:paraId="26AD2DAB" w14:textId="77777777">
        <w:tblPrEx>
          <w:tblCellMar>
            <w:top w:w="0" w:type="dxa"/>
            <w:bottom w:w="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1F3864"/>
            <w:tcMar>
              <w:top w:w="100" w:type="dxa"/>
              <w:left w:w="160" w:type="dxa"/>
              <w:bottom w:w="100" w:type="dxa"/>
              <w:right w:w="160" w:type="dxa"/>
            </w:tcMar>
          </w:tcPr>
          <w:p w14:paraId="72223DE3" w14:textId="77777777" w:rsidR="000E1629" w:rsidRDefault="00000000">
            <w:r>
              <w:rPr>
                <w:b/>
                <w:bCs/>
                <w:color w:val="FFFFFF"/>
                <w:sz w:val="22"/>
                <w:szCs w:val="22"/>
              </w:rPr>
              <w:t>SCOUT SUMMARY</w:t>
            </w:r>
          </w:p>
        </w:tc>
      </w:tr>
      <w:tr w:rsidR="000E1629" w14:paraId="797421D4"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CBDCADE" w14:textId="77777777" w:rsidR="000E1629" w:rsidRDefault="00000000">
            <w:r>
              <w:rPr>
                <w:b/>
                <w:bCs/>
                <w:color w:val="FFFFFF"/>
              </w:rPr>
              <w:t>FIELD</w:t>
            </w:r>
          </w:p>
        </w:tc>
        <w:tc>
          <w:tcPr>
            <w:tcW w:w="7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81C8701" w14:textId="77777777" w:rsidR="000E1629" w:rsidRDefault="00000000">
            <w:r>
              <w:rPr>
                <w:b/>
                <w:bCs/>
                <w:color w:val="FFFFFF"/>
              </w:rPr>
              <w:t>VALUE</w:t>
            </w:r>
          </w:p>
        </w:tc>
      </w:tr>
      <w:tr w:rsidR="000E1629" w14:paraId="5C5DFAB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70" w:type="dxa"/>
              <w:left w:w="120" w:type="dxa"/>
              <w:bottom w:w="70" w:type="dxa"/>
              <w:right w:w="120" w:type="dxa"/>
            </w:tcMar>
          </w:tcPr>
          <w:p w14:paraId="7742B494" w14:textId="77777777" w:rsidR="000E1629" w:rsidRDefault="00000000">
            <w:r>
              <w:rPr>
                <w:b/>
                <w:bCs/>
                <w:color w:val="000000"/>
              </w:rPr>
              <w:t>What They Do</w:t>
            </w:r>
          </w:p>
        </w:tc>
        <w:tc>
          <w:tcPr>
            <w:tcW w:w="7160" w:type="dxa"/>
            <w:tcBorders>
              <w:top w:val="single" w:sz="1" w:space="0" w:color="CCCCCC"/>
              <w:left w:val="single" w:sz="1" w:space="0" w:color="CCCCCC"/>
              <w:bottom w:val="single" w:sz="1" w:space="0" w:color="CCCCCC"/>
              <w:right w:val="single" w:sz="1" w:space="0" w:color="CCCCCC"/>
            </w:tcBorders>
            <w:shd w:val="clear" w:color="auto" w:fill="D5E8F0"/>
            <w:tcMar>
              <w:top w:w="70" w:type="dxa"/>
              <w:left w:w="120" w:type="dxa"/>
              <w:bottom w:w="70" w:type="dxa"/>
              <w:right w:w="120" w:type="dxa"/>
            </w:tcMar>
          </w:tcPr>
          <w:p w14:paraId="551687A0" w14:textId="77777777" w:rsidR="000E1629" w:rsidRDefault="00000000">
            <w:r>
              <w:rPr>
                <w:color w:val="000000"/>
              </w:rPr>
              <w:t>Automated multi-projector calibration software (geometric correction, color calibration, edge blending) for any surface geometry and any projector count — hardware-agnostic, GPU-accelerated, interactive-capable.</w:t>
            </w:r>
          </w:p>
        </w:tc>
      </w:tr>
      <w:tr w:rsidR="000E1629" w14:paraId="1814797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C670B8E" w14:textId="77777777" w:rsidR="000E1629" w:rsidRDefault="00000000">
            <w:r>
              <w:rPr>
                <w:b/>
                <w:bCs/>
                <w:color w:val="000000"/>
              </w:rPr>
              <w:t>Verdict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833035B" w14:textId="77777777" w:rsidR="000E1629" w:rsidRDefault="00000000">
            <w:r>
              <w:rPr>
                <w:color w:val="000000"/>
              </w:rPr>
              <w:t>ADVANCE TO DILIGENCE — conditional on resolving SAFE instrument and absent lead investor</w:t>
            </w:r>
          </w:p>
        </w:tc>
      </w:tr>
      <w:tr w:rsidR="000E1629" w14:paraId="0477378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70" w:type="dxa"/>
              <w:left w:w="120" w:type="dxa"/>
              <w:bottom w:w="70" w:type="dxa"/>
              <w:right w:w="120" w:type="dxa"/>
            </w:tcMar>
          </w:tcPr>
          <w:p w14:paraId="6483FDE0" w14:textId="77777777" w:rsidR="000E1629" w:rsidRDefault="00000000">
            <w:r>
              <w:rPr>
                <w:b/>
                <w:bCs/>
                <w:color w:val="000000"/>
              </w:rPr>
              <w:t>Conviction</w:t>
            </w:r>
          </w:p>
        </w:tc>
        <w:tc>
          <w:tcPr>
            <w:tcW w:w="7160" w:type="dxa"/>
            <w:tcBorders>
              <w:top w:val="single" w:sz="1" w:space="0" w:color="CCCCCC"/>
              <w:left w:val="single" w:sz="1" w:space="0" w:color="CCCCCC"/>
              <w:bottom w:val="single" w:sz="1" w:space="0" w:color="CCCCCC"/>
              <w:right w:val="single" w:sz="1" w:space="0" w:color="CCCCCC"/>
            </w:tcBorders>
            <w:shd w:val="clear" w:color="auto" w:fill="D5E8F0"/>
            <w:tcMar>
              <w:top w:w="70" w:type="dxa"/>
              <w:left w:w="120" w:type="dxa"/>
              <w:bottom w:w="70" w:type="dxa"/>
              <w:right w:w="120" w:type="dxa"/>
            </w:tcMar>
          </w:tcPr>
          <w:p w14:paraId="36AF770E" w14:textId="77777777" w:rsidR="000E1629" w:rsidRDefault="00000000">
            <w:r>
              <w:rPr>
                <w:color w:val="000000"/>
              </w:rPr>
              <w:t>Moderate-High</w:t>
            </w:r>
          </w:p>
        </w:tc>
      </w:tr>
      <w:tr w:rsidR="000E1629" w14:paraId="24E1634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C999E37" w14:textId="77777777" w:rsidR="000E1629" w:rsidRDefault="00000000">
            <w:r>
              <w:rPr>
                <w:b/>
                <w:bCs/>
                <w:color w:val="000000"/>
              </w:rPr>
              <w:t>Top Risk</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C5786F6" w14:textId="77777777" w:rsidR="000E1629" w:rsidRDefault="00000000">
            <w:r>
              <w:rPr>
                <w:color w:val="000000"/>
              </w:rPr>
              <w:t>GTM single-point-of-failure on Panasonic channel; no proven commercial operator on founding team</w:t>
            </w:r>
          </w:p>
        </w:tc>
      </w:tr>
      <w:tr w:rsidR="000E1629" w14:paraId="3694787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70" w:type="dxa"/>
              <w:left w:w="120" w:type="dxa"/>
              <w:bottom w:w="70" w:type="dxa"/>
              <w:right w:w="120" w:type="dxa"/>
            </w:tcMar>
          </w:tcPr>
          <w:p w14:paraId="75A9B749" w14:textId="77777777" w:rsidR="000E1629" w:rsidRDefault="00000000">
            <w:r>
              <w:rPr>
                <w:b/>
                <w:bCs/>
                <w:color w:val="000000"/>
              </w:rPr>
              <w:t>Theme</w:t>
            </w:r>
          </w:p>
        </w:tc>
        <w:tc>
          <w:tcPr>
            <w:tcW w:w="7160" w:type="dxa"/>
            <w:tcBorders>
              <w:top w:val="single" w:sz="1" w:space="0" w:color="CCCCCC"/>
              <w:left w:val="single" w:sz="1" w:space="0" w:color="CCCCCC"/>
              <w:bottom w:val="single" w:sz="1" w:space="0" w:color="CCCCCC"/>
              <w:right w:val="single" w:sz="1" w:space="0" w:color="CCCCCC"/>
            </w:tcBorders>
            <w:shd w:val="clear" w:color="auto" w:fill="D5E8F0"/>
            <w:tcMar>
              <w:top w:w="70" w:type="dxa"/>
              <w:left w:w="120" w:type="dxa"/>
              <w:bottom w:w="70" w:type="dxa"/>
              <w:right w:w="120" w:type="dxa"/>
            </w:tcMar>
          </w:tcPr>
          <w:p w14:paraId="0AE96355" w14:textId="77777777" w:rsidR="000E1629" w:rsidRDefault="00000000">
            <w:r>
              <w:rPr>
                <w:color w:val="000000"/>
              </w:rPr>
              <w:t>Theme 2 — SW Enabled HW, Physical AI &amp; Robotics</w:t>
            </w:r>
          </w:p>
        </w:tc>
      </w:tr>
      <w:tr w:rsidR="000E1629" w14:paraId="3BCAC6A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8DD423E" w14:textId="77777777" w:rsidR="000E1629" w:rsidRDefault="00000000">
            <w:r>
              <w:rPr>
                <w:b/>
                <w:bCs/>
                <w:color w:val="000000"/>
              </w:rPr>
              <w:t>Lead</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B433165" w14:textId="77777777" w:rsidR="000E1629" w:rsidRDefault="00000000">
            <w:r>
              <w:rPr>
                <w:color w:val="000000"/>
              </w:rPr>
              <w:t xml:space="preserve">TBD — Pending </w:t>
            </w:r>
            <w:proofErr w:type="spellStart"/>
            <w:r>
              <w:rPr>
                <w:color w:val="000000"/>
              </w:rPr>
              <w:t>Dealum</w:t>
            </w:r>
            <w:proofErr w:type="spellEnd"/>
            <w:r>
              <w:rPr>
                <w:color w:val="000000"/>
              </w:rPr>
              <w:t xml:space="preserve"> API</w:t>
            </w:r>
          </w:p>
        </w:tc>
      </w:tr>
      <w:tr w:rsidR="000E1629" w14:paraId="6C5983A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D34FCFD" w14:textId="77777777" w:rsidR="000E1629" w:rsidRDefault="00000000">
            <w:r>
              <w:rPr>
                <w:b/>
                <w:bCs/>
                <w:color w:val="000000"/>
              </w:rPr>
              <w:t>SMEs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4DA78D0" w14:textId="77777777" w:rsidR="000E1629" w:rsidRDefault="00000000">
            <w:r>
              <w:rPr>
                <w:color w:val="000000"/>
              </w:rPr>
              <w:t xml:space="preserve">TBD — Pending </w:t>
            </w:r>
            <w:proofErr w:type="spellStart"/>
            <w:r>
              <w:rPr>
                <w:color w:val="000000"/>
              </w:rPr>
              <w:t>Dealum</w:t>
            </w:r>
            <w:proofErr w:type="spellEnd"/>
            <w:r>
              <w:rPr>
                <w:color w:val="000000"/>
              </w:rPr>
              <w:t xml:space="preserve"> API</w:t>
            </w:r>
          </w:p>
        </w:tc>
      </w:tr>
    </w:tbl>
    <w:p w14:paraId="411B7694" w14:textId="77777777" w:rsidR="000E1629" w:rsidRDefault="000E162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E1629" w14:paraId="183F00D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3864"/>
            <w:tcMar>
              <w:top w:w="100" w:type="dxa"/>
              <w:left w:w="160" w:type="dxa"/>
              <w:bottom w:w="100" w:type="dxa"/>
              <w:right w:w="160" w:type="dxa"/>
            </w:tcMar>
          </w:tcPr>
          <w:p w14:paraId="55A0E35B" w14:textId="77777777" w:rsidR="000E1629" w:rsidRDefault="00000000">
            <w:r>
              <w:rPr>
                <w:b/>
                <w:bCs/>
                <w:color w:val="FFFFFF"/>
                <w:sz w:val="22"/>
                <w:szCs w:val="22"/>
              </w:rPr>
              <w:t>ONE-SENTENCE VERDICT</w:t>
            </w:r>
          </w:p>
        </w:tc>
      </w:tr>
    </w:tbl>
    <w:p w14:paraId="4410D9DA" w14:textId="77777777" w:rsidR="000E1629" w:rsidRDefault="00000000">
      <w:pPr>
        <w:spacing w:before="100" w:after="100"/>
      </w:pPr>
      <w:r>
        <w:rPr>
          <w:i/>
          <w:iCs/>
          <w:color w:val="000000"/>
          <w:sz w:val="19"/>
          <w:szCs w:val="19"/>
        </w:rPr>
        <w:t xml:space="preserve">STL has patented, field-validated spatial computing infrastructure with real enterprise traction and an irreplaceable founding technologist — advance to diligence, but the SAFE instrument and absent lead investor must be resolved before </w:t>
      </w:r>
      <w:proofErr w:type="spellStart"/>
      <w:r>
        <w:rPr>
          <w:i/>
          <w:iCs/>
          <w:color w:val="000000"/>
          <w:sz w:val="19"/>
          <w:szCs w:val="19"/>
        </w:rPr>
        <w:t>NWAi</w:t>
      </w:r>
      <w:proofErr w:type="spellEnd"/>
      <w:r>
        <w:rPr>
          <w:i/>
          <w:iCs/>
          <w:color w:val="000000"/>
          <w:sz w:val="19"/>
          <w:szCs w:val="19"/>
        </w:rPr>
        <w:t xml:space="preserve"> can commit.</w:t>
      </w:r>
    </w:p>
    <w:p w14:paraId="5582698B" w14:textId="77777777" w:rsidR="000E1629" w:rsidRDefault="000E162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E1629" w14:paraId="3A4C824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3864"/>
            <w:tcMar>
              <w:top w:w="100" w:type="dxa"/>
              <w:left w:w="160" w:type="dxa"/>
              <w:bottom w:w="100" w:type="dxa"/>
              <w:right w:w="160" w:type="dxa"/>
            </w:tcMar>
          </w:tcPr>
          <w:p w14:paraId="0717E22D" w14:textId="77777777" w:rsidR="000E1629" w:rsidRDefault="00000000">
            <w:r>
              <w:rPr>
                <w:b/>
                <w:bCs/>
                <w:color w:val="FFFFFF"/>
                <w:sz w:val="22"/>
                <w:szCs w:val="22"/>
              </w:rPr>
              <w:t>SINGLE BIGGEST RISK</w:t>
            </w:r>
          </w:p>
        </w:tc>
      </w:tr>
    </w:tbl>
    <w:p w14:paraId="242FDFC0" w14:textId="77777777" w:rsidR="000E1629" w:rsidRDefault="00000000">
      <w:pPr>
        <w:spacing w:before="100" w:after="100"/>
      </w:pPr>
      <w:r>
        <w:rPr>
          <w:color w:val="000000"/>
        </w:rPr>
        <w:t>Go-to-market single-point-of-failure — the entire commercial engine runs through one partner (Panasonic), and Dr. Majumdar is a world-class researcher, not a proven enterprise sales operator; if the Panasonic channel stalls or internalizes the technology, STL has no alternative revenue engine to reach $10M ARR.</w:t>
      </w:r>
    </w:p>
    <w:p w14:paraId="5BA7946D" w14:textId="77777777" w:rsidR="000E1629" w:rsidRDefault="000E162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E1629" w14:paraId="6729831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3864"/>
            <w:tcMar>
              <w:top w:w="100" w:type="dxa"/>
              <w:left w:w="160" w:type="dxa"/>
              <w:bottom w:w="100" w:type="dxa"/>
              <w:right w:w="160" w:type="dxa"/>
            </w:tcMar>
          </w:tcPr>
          <w:p w14:paraId="46F604F8" w14:textId="77777777" w:rsidR="000E1629" w:rsidRDefault="00000000">
            <w:r>
              <w:rPr>
                <w:b/>
                <w:bCs/>
                <w:color w:val="FFFFFF"/>
                <w:sz w:val="22"/>
                <w:szCs w:val="22"/>
              </w:rPr>
              <w:t>PHASE 1: VIABILITY</w:t>
            </w:r>
          </w:p>
        </w:tc>
      </w:tr>
    </w:tbl>
    <w:p w14:paraId="3E972A3A" w14:textId="77777777" w:rsidR="000E1629" w:rsidRDefault="000E1629">
      <w:pPr>
        <w:spacing w:before="40"/>
      </w:pPr>
    </w:p>
    <w:p w14:paraId="483BCC3C" w14:textId="77777777" w:rsidR="000E1629" w:rsidRDefault="00000000">
      <w:pPr>
        <w:spacing w:before="60" w:after="40"/>
      </w:pPr>
      <w:r>
        <w:rPr>
          <w:b/>
          <w:bCs/>
          <w:color w:val="1F3864"/>
          <w:sz w:val="21"/>
          <w:szCs w:val="21"/>
        </w:rPr>
        <w:t>Q1 — Big Idea</w:t>
      </w:r>
    </w:p>
    <w:p w14:paraId="3916F97B" w14:textId="77777777" w:rsidR="000E1629" w:rsidRDefault="00000000">
      <w:pPr>
        <w:spacing w:before="60" w:after="60"/>
      </w:pPr>
      <w:r>
        <w:rPr>
          <w:b/>
          <w:bCs/>
          <w:color w:val="1E7145"/>
        </w:rPr>
        <w:t xml:space="preserve">Rating: </w:t>
      </w:r>
      <w:r>
        <w:rPr>
          <w:color w:val="000000"/>
        </w:rPr>
        <w:t>STRONG ✔</w:t>
      </w:r>
    </w:p>
    <w:p w14:paraId="416DBBCD" w14:textId="77777777" w:rsidR="000E1629" w:rsidRDefault="00000000">
      <w:pPr>
        <w:spacing w:before="40" w:after="80"/>
      </w:pPr>
      <w:r>
        <w:rPr>
          <w:color w:val="000000"/>
        </w:rPr>
        <w:t>The structural shift from individual VR headsets toward shared, room-scale immersive spatial displays is real and accelerating — in entertainment venues, defense simulation, training environments, and corporate spaces. The post-VR-headset correction (people dislike wearing them; they isolate users; they fail in large-group training scenarios) is a genuine discontinuity already visible in the market. STL’s architectural insight is correct: the bottleneck for immersive multi-projector deployments is not projector hardware (commodity) but calibration — the weeks of expert manual labor required to make complex, non-flat surfaces work. STL eliminates that labor with automated computer-vision calibration that works on any surface, any projector count, any brand. Why Now: (1) proliferation of architecturally complex display surfaces that legacy tools cannot calibrate, (2) enterprise demand for automated recalibration (manual calibration requires scaffolding access and creates liability exposure), and (3) the spatial computing era placing immersive environments at the center of entertainment, defense, and simulation use cases.</w:t>
      </w:r>
    </w:p>
    <w:p w14:paraId="29CA7254" w14:textId="77777777" w:rsidR="000E1629" w:rsidRDefault="000E1629">
      <w:pPr>
        <w:spacing w:before="40"/>
      </w:pPr>
    </w:p>
    <w:p w14:paraId="5690C599" w14:textId="77777777" w:rsidR="000E1629" w:rsidRDefault="00000000">
      <w:pPr>
        <w:spacing w:before="60" w:after="40"/>
      </w:pPr>
      <w:r>
        <w:rPr>
          <w:b/>
          <w:bCs/>
          <w:color w:val="1F3864"/>
          <w:sz w:val="21"/>
          <w:szCs w:val="21"/>
        </w:rPr>
        <w:t>Q2 — Market Size</w:t>
      </w:r>
    </w:p>
    <w:p w14:paraId="0AF96A8F" w14:textId="77777777" w:rsidR="000E1629" w:rsidRDefault="00000000">
      <w:pPr>
        <w:spacing w:before="60" w:after="60"/>
      </w:pPr>
      <w:r>
        <w:rPr>
          <w:b/>
          <w:bCs/>
          <w:color w:val="C55A11"/>
        </w:rPr>
        <w:lastRenderedPageBreak/>
        <w:t xml:space="preserve">Rating: </w:t>
      </w:r>
      <w:r>
        <w:rPr>
          <w:color w:val="000000"/>
        </w:rPr>
        <w:t>ADEQUATE ⚠</w:t>
      </w:r>
    </w:p>
    <w:p w14:paraId="1D79999D" w14:textId="77777777" w:rsidR="000E1629" w:rsidRDefault="00000000">
      <w:pPr>
        <w:spacing w:before="40" w:after="80"/>
      </w:pPr>
      <w:r>
        <w:rPr>
          <w:color w:val="000000"/>
        </w:rPr>
        <w:t xml:space="preserve">The projection mapping market is $6.66B today, growing to $17.82B by 2030 (13.6% CAGR, </w:t>
      </w:r>
      <w:proofErr w:type="spellStart"/>
      <w:r>
        <w:rPr>
          <w:color w:val="000000"/>
        </w:rPr>
        <w:t>MarketsAndMarkets</w:t>
      </w:r>
      <w:proofErr w:type="spellEnd"/>
      <w:r>
        <w:rPr>
          <w:color w:val="000000"/>
        </w:rPr>
        <w:t xml:space="preserve">). STL’s true SAM — automated calibration software for multi-projector installations — is a sub-segment, roughly $500M–$1B. The path to $10M ARR is credible via NPIA expansion, PBS Studios, and the Panasonic pipeline. The path to $100M revenue, however, requires significant vertical market expansion well beyond current positioning. The $1,000/projector implementation model generates strong per-project </w:t>
      </w:r>
      <w:proofErr w:type="gramStart"/>
      <w:r>
        <w:rPr>
          <w:color w:val="000000"/>
        </w:rPr>
        <w:t>revenue</w:t>
      </w:r>
      <w:proofErr w:type="gramEnd"/>
      <w:r>
        <w:rPr>
          <w:color w:val="000000"/>
        </w:rPr>
        <w:t xml:space="preserve"> but the market is not platform-scale. TAM is real but structurally limits exit multiples unless STL expands into adjacent spatial computing software categories (digital twin rendering, interactive display management, real-time AI content adaptation).</w:t>
      </w:r>
    </w:p>
    <w:p w14:paraId="5D06CF36" w14:textId="77777777" w:rsidR="000E1629" w:rsidRDefault="000E1629">
      <w:pPr>
        <w:spacing w:before="40"/>
      </w:pPr>
    </w:p>
    <w:p w14:paraId="694826C7" w14:textId="77777777" w:rsidR="000E1629" w:rsidRDefault="00000000">
      <w:pPr>
        <w:spacing w:before="60" w:after="40"/>
      </w:pPr>
      <w:r>
        <w:rPr>
          <w:b/>
          <w:bCs/>
          <w:color w:val="1F3864"/>
          <w:sz w:val="21"/>
          <w:szCs w:val="21"/>
        </w:rPr>
        <w:t>Q3 — Moat</w:t>
      </w:r>
    </w:p>
    <w:p w14:paraId="10048A2B" w14:textId="77777777" w:rsidR="000E1629" w:rsidRDefault="00000000">
      <w:pPr>
        <w:spacing w:before="60" w:after="60"/>
      </w:pPr>
      <w:r>
        <w:rPr>
          <w:b/>
          <w:bCs/>
          <w:color w:val="C55A11"/>
        </w:rPr>
        <w:t xml:space="preserve">Rating: </w:t>
      </w:r>
      <w:r>
        <w:rPr>
          <w:color w:val="000000"/>
        </w:rPr>
        <w:t>DEVELOPING ⚠</w:t>
      </w:r>
    </w:p>
    <w:p w14:paraId="1935605A" w14:textId="77777777" w:rsidR="000E1629" w:rsidRDefault="00000000">
      <w:pPr>
        <w:spacing w:before="40" w:after="80"/>
      </w:pPr>
      <w:r>
        <w:rPr>
          <w:color w:val="000000"/>
        </w:rPr>
        <w:t xml:space="preserve">STL’s moat rests on three pillars: (1) Patented computer vision algorithms for multi-projector calibration on arbitrary surfaces — licensed from UCI (2.5% royalty confirms real IP, not vaporware), (2) Dr. Majumdar’s unique and effectively irreplaceable domain expertise as a field pioneer (published researcher, NSF CAREER Award, Disney Imagineering advisor, co-inventor on the patents), and (3) first-mover advantage in the “any surface, any projector count, any brand” segment that competitors like </w:t>
      </w:r>
      <w:proofErr w:type="spellStart"/>
      <w:r>
        <w:rPr>
          <w:color w:val="000000"/>
        </w:rPr>
        <w:t>Vioso</w:t>
      </w:r>
      <w:proofErr w:type="spellEnd"/>
      <w:r>
        <w:rPr>
          <w:color w:val="000000"/>
        </w:rPr>
        <w:t xml:space="preserve"> and Scalable Display Technologies do not match. The moat is primarily a Capital/Compute + Vertical/Workflow Moat — proprietary algorithms plus deep domain expertise. It is NOT a data flywheel: STL never retains customer content, only calibration patterns, so there is no accumulating proprietary data advantage. Switching costs exist (recalibration is painful, embedded in workflows) but warp/blend file handoff means customers could theoretically engage a competitor. The real-time dynamic calibration feature, which would add meaningful workflow lock-in, is still MVP. Moat is real but not yet self-reinforcing.</w:t>
      </w:r>
    </w:p>
    <w:p w14:paraId="2FBE102C" w14:textId="77777777" w:rsidR="000E1629" w:rsidRDefault="000E162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E1629" w14:paraId="10D3BB6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3864"/>
            <w:tcMar>
              <w:top w:w="100" w:type="dxa"/>
              <w:left w:w="160" w:type="dxa"/>
              <w:bottom w:w="100" w:type="dxa"/>
              <w:right w:w="160" w:type="dxa"/>
            </w:tcMar>
          </w:tcPr>
          <w:p w14:paraId="297F39A8" w14:textId="77777777" w:rsidR="000E1629" w:rsidRDefault="00000000">
            <w:r>
              <w:rPr>
                <w:b/>
                <w:bCs/>
                <w:color w:val="FFFFFF"/>
                <w:sz w:val="22"/>
                <w:szCs w:val="22"/>
              </w:rPr>
              <w:t>PHASE 2: EXECUTION</w:t>
            </w:r>
          </w:p>
        </w:tc>
      </w:tr>
    </w:tbl>
    <w:p w14:paraId="25C9EC76" w14:textId="77777777" w:rsidR="000E1629" w:rsidRDefault="000E1629">
      <w:pPr>
        <w:spacing w:before="40"/>
      </w:pPr>
    </w:p>
    <w:p w14:paraId="4E81369E" w14:textId="77777777" w:rsidR="000E1629" w:rsidRDefault="00000000">
      <w:pPr>
        <w:spacing w:before="60" w:after="60"/>
      </w:pPr>
      <w:r>
        <w:rPr>
          <w:b/>
          <w:bCs/>
          <w:color w:val="1F3864"/>
        </w:rPr>
        <w:t xml:space="preserve">Q4 — Team: </w:t>
      </w:r>
      <w:r>
        <w:rPr>
          <w:color w:val="000000"/>
        </w:rPr>
        <w:t>Dr. Aditi Majumdar (founder/CEO): UCI CS professor, published field pioneer, NSF CAREER Award, Disney Imagineering advisor, co-inventor on the calibration patents. CP (CTO): strong technical depth confirmed in 60-minute live demo Q&amp;A. CONCERN: No visible GTM/sales leader; academic-founder profile carries execution risk. Notably could not answer competitor revenue question during pitch — limited competitive market intelligence.</w:t>
      </w:r>
    </w:p>
    <w:p w14:paraId="4E193DBD" w14:textId="77777777" w:rsidR="000E1629" w:rsidRDefault="00000000">
      <w:pPr>
        <w:spacing w:before="60" w:after="60"/>
      </w:pPr>
      <w:r>
        <w:rPr>
          <w:b/>
          <w:bCs/>
          <w:color w:val="1F3864"/>
        </w:rPr>
        <w:t xml:space="preserve">Q5 — Technology (TRL 6–7): </w:t>
      </w:r>
      <w:r>
        <w:rPr>
          <w:color w:val="000000"/>
        </w:rPr>
        <w:t xml:space="preserve">Core IP is patented multi-projector calibration algorithms for arbitrary surfaces. Demonstrated in operational environments: NPIA (144 projectors, $1.1M contract), PBS Studios (28+18 projector rooms via Panasonic), Chicago corporate lobby (automated weekly recalibration), flight simulators (Region Craft, MPCDI standard). GPU-offloaded rendering (Nvidia </w:t>
      </w:r>
      <w:proofErr w:type="spellStart"/>
      <w:r>
        <w:rPr>
          <w:color w:val="000000"/>
        </w:rPr>
        <w:t>warp+blend</w:t>
      </w:r>
      <w:proofErr w:type="spellEnd"/>
      <w:r>
        <w:rPr>
          <w:color w:val="000000"/>
        </w:rPr>
        <w:t>) is production-grade. Real-time dynamic calibration (RGBD camera-based) is MVP-stage with acknowledged limitations — not yet production-ready for all use cases.</w:t>
      </w:r>
    </w:p>
    <w:p w14:paraId="39625C8B" w14:textId="77777777" w:rsidR="000E1629" w:rsidRDefault="00000000">
      <w:pPr>
        <w:spacing w:before="60" w:after="60"/>
      </w:pPr>
      <w:r>
        <w:rPr>
          <w:b/>
          <w:bCs/>
          <w:color w:val="1F3864"/>
        </w:rPr>
        <w:t xml:space="preserve">Q6 — Traction: </w:t>
      </w:r>
      <w:r>
        <w:rPr>
          <w:color w:val="000000"/>
        </w:rPr>
        <w:t>$1.1M NPIA government contract (144 projectors, 2-year deployment underway). PBS Studios project via Panasonic (28+18 projectors). Chicago corporate lobby. Flight simulator deployments. Panasonic distribution partnership active. Gross margin: ~75% software license, ~25% implementation fee, 2.5% UCI royalty. Revenue estimated $500K–$1M+ in active contracts. Scalability model: first install templates all subsequent deployments as “cookie-cutter.”</w:t>
      </w:r>
    </w:p>
    <w:p w14:paraId="0D851505" w14:textId="77777777" w:rsidR="000E1629" w:rsidRDefault="00000000">
      <w:pPr>
        <w:spacing w:before="60" w:after="60"/>
      </w:pPr>
      <w:r>
        <w:rPr>
          <w:b/>
          <w:bCs/>
          <w:color w:val="1F3864"/>
        </w:rPr>
        <w:t xml:space="preserve">Q7 — GTM / Path to $10M: </w:t>
      </w:r>
      <w:r>
        <w:rPr>
          <w:color w:val="000000"/>
        </w:rPr>
        <w:t>Partner-led via Panasonic and AV integrators (Tier 1 support outsourced; STL handles Tier 2–3). Two primary verticals: (1) Location-based entertainment (theme parks, PBS Studios, theatrical lighting, museums) and (2) Defense/simulation (NPIA, expeditionary displays). $1,000/projector implementation plus annual license. Recurring revenue model still developing. Path to $10M requires Panasonic expansion plus additional DoD contracts; achievable in 3–4 years. Subway station projection (Europe, in proposal) opens a third vertical.</w:t>
      </w:r>
    </w:p>
    <w:p w14:paraId="45841019" w14:textId="77777777" w:rsidR="000E1629" w:rsidRDefault="00000000">
      <w:pPr>
        <w:spacing w:before="60" w:after="60"/>
      </w:pPr>
      <w:r>
        <w:rPr>
          <w:b/>
          <w:bCs/>
          <w:color w:val="1F3864"/>
        </w:rPr>
        <w:t xml:space="preserve">Q8 — Exit: </w:t>
      </w:r>
      <w:r>
        <w:rPr>
          <w:color w:val="000000"/>
        </w:rPr>
        <w:t>Natural acquirers: Panasonic (distribution partner, obvious consolidation), Barco, Christie Digital, Delta Electronics (major projection OEMs seeking software stack), NVIDIA (</w:t>
      </w:r>
      <w:proofErr w:type="spellStart"/>
      <w:r>
        <w:rPr>
          <w:color w:val="000000"/>
        </w:rPr>
        <w:t>warp+blend</w:t>
      </w:r>
      <w:proofErr w:type="spellEnd"/>
      <w:r>
        <w:rPr>
          <w:color w:val="000000"/>
        </w:rPr>
        <w:t xml:space="preserve"> + GPU synergy), Dolby (immersive experience portfolio), L3Harris or Leidos (defense/SBIR path). Exit at $50–100M plausible; 10x </w:t>
      </w:r>
      <w:proofErr w:type="spellStart"/>
      <w:r>
        <w:rPr>
          <w:color w:val="000000"/>
        </w:rPr>
        <w:t>NWAi</w:t>
      </w:r>
      <w:proofErr w:type="spellEnd"/>
      <w:r>
        <w:rPr>
          <w:color w:val="000000"/>
        </w:rPr>
        <w:t xml:space="preserve"> return requires disciplined entry valuation. M&amp;A in AV/immersive display market is active. Founder acknowledged Disney and defense interest organically during the pitch.</w:t>
      </w:r>
    </w:p>
    <w:p w14:paraId="766A5A28" w14:textId="77777777" w:rsidR="000E1629" w:rsidRDefault="000E162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E1629" w14:paraId="66BBADC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3864"/>
            <w:tcMar>
              <w:top w:w="100" w:type="dxa"/>
              <w:left w:w="160" w:type="dxa"/>
              <w:bottom w:w="100" w:type="dxa"/>
              <w:right w:w="160" w:type="dxa"/>
            </w:tcMar>
          </w:tcPr>
          <w:p w14:paraId="6911B0E2" w14:textId="77777777" w:rsidR="000E1629" w:rsidRDefault="00000000">
            <w:r>
              <w:rPr>
                <w:b/>
                <w:bCs/>
                <w:color w:val="FFFFFF"/>
                <w:sz w:val="22"/>
                <w:szCs w:val="22"/>
              </w:rPr>
              <w:t>RECOMMENDATION</w:t>
            </w:r>
          </w:p>
        </w:tc>
      </w:tr>
    </w:tbl>
    <w:p w14:paraId="4906D023" w14:textId="77777777" w:rsidR="000E1629" w:rsidRDefault="000E1629">
      <w:pPr>
        <w:spacing w:before="40"/>
      </w:pPr>
    </w:p>
    <w:p w14:paraId="256B9992" w14:textId="77777777" w:rsidR="000E1629" w:rsidRDefault="00000000">
      <w:pPr>
        <w:spacing w:before="60" w:after="60"/>
      </w:pPr>
      <w:r>
        <w:rPr>
          <w:b/>
          <w:bCs/>
          <w:color w:val="1E7145"/>
        </w:rPr>
        <w:t xml:space="preserve">Verdict: </w:t>
      </w:r>
      <w:r>
        <w:rPr>
          <w:color w:val="000000"/>
        </w:rPr>
        <w:t>ADVANCE TO DILIGENCE</w:t>
      </w:r>
    </w:p>
    <w:p w14:paraId="2BEF3B20" w14:textId="77777777" w:rsidR="000E1629" w:rsidRDefault="00000000">
      <w:pPr>
        <w:spacing w:before="60" w:after="60"/>
      </w:pPr>
      <w:r>
        <w:rPr>
          <w:b/>
          <w:bCs/>
          <w:color w:val="1F3864"/>
        </w:rPr>
        <w:t xml:space="preserve">Why: </w:t>
      </w:r>
      <w:r>
        <w:rPr>
          <w:color w:val="000000"/>
        </w:rPr>
        <w:t>Patented IP, field-validated at enterprise scale, credible distribution partner, irreplaceable technical founder, and a genuine structural discontinuity in the spatial computing display market. Real revenue contracts. Hard gates all passed at screening. Opportunity Score 21/25, Readiness Score 17/20.</w:t>
      </w:r>
    </w:p>
    <w:p w14:paraId="13BC003D" w14:textId="77777777" w:rsidR="000E1629" w:rsidRDefault="00000000">
      <w:pPr>
        <w:spacing w:before="60" w:after="60"/>
      </w:pPr>
      <w:r>
        <w:rPr>
          <w:b/>
          <w:bCs/>
          <w:color w:val="1F3864"/>
        </w:rPr>
        <w:t xml:space="preserve">Watch For: </w:t>
      </w:r>
      <w:r>
        <w:rPr>
          <w:color w:val="000000"/>
        </w:rPr>
        <w:t xml:space="preserve">SAFE instrument (must resolve to priced equity or convertible debt before </w:t>
      </w:r>
      <w:proofErr w:type="spellStart"/>
      <w:r>
        <w:rPr>
          <w:color w:val="000000"/>
        </w:rPr>
        <w:t>NWAi</w:t>
      </w:r>
      <w:proofErr w:type="spellEnd"/>
      <w:r>
        <w:rPr>
          <w:color w:val="000000"/>
        </w:rPr>
        <w:t xml:space="preserve"> can invest). No confirmed lead investor — syndication risk. Panasonic channel concentration. Real-time dynamic calibration still MVP. Academic-founder commercialization execution risk.</w:t>
      </w:r>
    </w:p>
    <w:p w14:paraId="2E61CDD2" w14:textId="77777777" w:rsidR="000E1629" w:rsidRDefault="000E162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E1629" w14:paraId="206F032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3864"/>
            <w:tcMar>
              <w:top w:w="100" w:type="dxa"/>
              <w:left w:w="160" w:type="dxa"/>
              <w:bottom w:w="100" w:type="dxa"/>
              <w:right w:w="160" w:type="dxa"/>
            </w:tcMar>
          </w:tcPr>
          <w:p w14:paraId="7921CAD3" w14:textId="77777777" w:rsidR="000E1629" w:rsidRDefault="00000000">
            <w:r>
              <w:rPr>
                <w:b/>
                <w:bCs/>
                <w:color w:val="FFFFFF"/>
                <w:sz w:val="22"/>
                <w:szCs w:val="22"/>
              </w:rPr>
              <w:t>TARGETED DILIGENCE QUESTIONS — For Lead SME at Intro Call</w:t>
            </w:r>
          </w:p>
        </w:tc>
      </w:tr>
    </w:tbl>
    <w:p w14:paraId="5DD9BF38" w14:textId="77777777" w:rsidR="000E1629" w:rsidRDefault="000E1629">
      <w:pPr>
        <w:spacing w:before="40"/>
      </w:pPr>
    </w:p>
    <w:p w14:paraId="0589BA70" w14:textId="77777777" w:rsidR="000E1629" w:rsidRDefault="00000000">
      <w:pPr>
        <w:pStyle w:val="ListParagraph"/>
        <w:numPr>
          <w:ilvl w:val="0"/>
          <w:numId w:val="2"/>
        </w:numPr>
      </w:pPr>
      <w:r>
        <w:rPr>
          <w:b/>
          <w:bCs/>
        </w:rPr>
        <w:t xml:space="preserve">Raise structure: </w:t>
      </w:r>
      <w:r>
        <w:t>Is this a priced equity round or SAFE? What are the terms, valuation cap, and discount? Who is the lead investor and what does the current cap table look like — specifically, what is UCI’s equity stake and are there any blocking rights or unusual provisions from the university license?</w:t>
      </w:r>
    </w:p>
    <w:p w14:paraId="0FC20E2B" w14:textId="77777777" w:rsidR="000E1629" w:rsidRDefault="00000000">
      <w:pPr>
        <w:pStyle w:val="ListParagraph"/>
        <w:numPr>
          <w:ilvl w:val="0"/>
          <w:numId w:val="2"/>
        </w:numPr>
      </w:pPr>
      <w:r>
        <w:rPr>
          <w:b/>
          <w:bCs/>
        </w:rPr>
        <w:t xml:space="preserve">UCI IP ownership: </w:t>
      </w:r>
      <w:r>
        <w:t>What exactly does STL own vs. license from UCI? What triggers royalty renegotiation? What happens to the patents in an acquisition scenario — does UCI need to consent, and does the 2.5% royalty survive a change of control?</w:t>
      </w:r>
    </w:p>
    <w:p w14:paraId="22A632EF" w14:textId="77777777" w:rsidR="000E1629" w:rsidRDefault="00000000">
      <w:pPr>
        <w:pStyle w:val="ListParagraph"/>
        <w:numPr>
          <w:ilvl w:val="0"/>
          <w:numId w:val="2"/>
        </w:numPr>
      </w:pPr>
      <w:r>
        <w:rPr>
          <w:b/>
          <w:bCs/>
        </w:rPr>
        <w:t xml:space="preserve">Panasonic dependency: </w:t>
      </w:r>
      <w:r>
        <w:t xml:space="preserve">What is the formal structure of the Panasonic relationship — distribution agreement, exclusivity clause, minimum commitments, revenue share? What prevents Panasonic from building equivalent calibration software internally or acquiring a competitor like </w:t>
      </w:r>
      <w:proofErr w:type="spellStart"/>
      <w:r>
        <w:t>Vioso</w:t>
      </w:r>
      <w:proofErr w:type="spellEnd"/>
      <w:r>
        <w:t>?</w:t>
      </w:r>
    </w:p>
    <w:p w14:paraId="5CFCADD9" w14:textId="77777777" w:rsidR="000E1629" w:rsidRDefault="00000000">
      <w:pPr>
        <w:pStyle w:val="ListParagraph"/>
        <w:numPr>
          <w:ilvl w:val="0"/>
          <w:numId w:val="2"/>
        </w:numPr>
      </w:pPr>
      <w:r>
        <w:rPr>
          <w:b/>
          <w:bCs/>
        </w:rPr>
        <w:t xml:space="preserve">Real-time dynamic calibration roadmap: </w:t>
      </w:r>
      <w:r>
        <w:t>What specific milestones remain before the MVP exits to production? What is the timeline and capital requirement? Does this require the SBIR funding that was suspended, or can it be achieved with private capital from this round?</w:t>
      </w:r>
    </w:p>
    <w:p w14:paraId="64A6526B" w14:textId="77777777" w:rsidR="000E1629" w:rsidRDefault="00000000">
      <w:pPr>
        <w:pStyle w:val="ListParagraph"/>
        <w:numPr>
          <w:ilvl w:val="0"/>
          <w:numId w:val="2"/>
        </w:numPr>
      </w:pPr>
      <w:r>
        <w:rPr>
          <w:b/>
          <w:bCs/>
        </w:rPr>
        <w:t xml:space="preserve">Current ARR and renewal rate: </w:t>
      </w:r>
      <w:r>
        <w:t>What is the exact ARR/MRR breakdown between license fees and implementation fees? Are the NPIA and other contracts generating recurring annual license revenue, or are they primarily one-time implementation? What is the renewal rate and average contract duration?</w:t>
      </w:r>
    </w:p>
    <w:p w14:paraId="5BB4C4FC" w14:textId="77777777" w:rsidR="000E1629" w:rsidRDefault="000E162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E1629" w14:paraId="351A8A5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3864"/>
            <w:tcMar>
              <w:top w:w="100" w:type="dxa"/>
              <w:left w:w="160" w:type="dxa"/>
              <w:bottom w:w="100" w:type="dxa"/>
              <w:right w:w="160" w:type="dxa"/>
            </w:tcMar>
          </w:tcPr>
          <w:p w14:paraId="40F5E9E3" w14:textId="77777777" w:rsidR="000E1629" w:rsidRDefault="00000000">
            <w:r>
              <w:rPr>
                <w:b/>
                <w:bCs/>
                <w:color w:val="FFFFFF"/>
                <w:sz w:val="22"/>
                <w:szCs w:val="22"/>
              </w:rPr>
              <w:t>DEALUM PIPELINE UPDATE</w:t>
            </w:r>
          </w:p>
        </w:tc>
      </w:tr>
    </w:tbl>
    <w:p w14:paraId="563A4CDA" w14:textId="77777777" w:rsidR="000E1629" w:rsidRDefault="000E1629">
      <w:pPr>
        <w:spacing w:before="40"/>
      </w:pPr>
    </w:p>
    <w:p w14:paraId="15A31CD7" w14:textId="77777777" w:rsidR="000E1629" w:rsidRDefault="00000000">
      <w:pPr>
        <w:spacing w:before="60" w:after="60"/>
      </w:pPr>
      <w:proofErr w:type="spellStart"/>
      <w:r>
        <w:rPr>
          <w:b/>
          <w:bCs/>
          <w:color w:val="1F3864"/>
        </w:rPr>
        <w:t>Dealum</w:t>
      </w:r>
      <w:proofErr w:type="spellEnd"/>
      <w:r>
        <w:rPr>
          <w:b/>
          <w:bCs/>
          <w:color w:val="1F3864"/>
        </w:rPr>
        <w:t xml:space="preserve"> ID: </w:t>
      </w:r>
      <w:r>
        <w:rPr>
          <w:color w:val="000000"/>
        </w:rPr>
        <w:t>WJFS-NVUT-1645</w:t>
      </w:r>
    </w:p>
    <w:p w14:paraId="2D962F2F" w14:textId="77777777" w:rsidR="000E1629" w:rsidRDefault="00000000">
      <w:pPr>
        <w:spacing w:before="60" w:after="60"/>
      </w:pPr>
      <w:r>
        <w:rPr>
          <w:b/>
          <w:bCs/>
          <w:color w:val="1F3864"/>
        </w:rPr>
        <w:t xml:space="preserve">Step to Update: </w:t>
      </w:r>
      <w:r>
        <w:rPr>
          <w:color w:val="000000"/>
        </w:rPr>
        <w:t>Scout/</w:t>
      </w:r>
      <w:proofErr w:type="spellStart"/>
      <w:r>
        <w:rPr>
          <w:color w:val="000000"/>
        </w:rPr>
        <w:t>IntroCall</w:t>
      </w:r>
      <w:proofErr w:type="spellEnd"/>
    </w:p>
    <w:p w14:paraId="759CF80F" w14:textId="77777777" w:rsidR="000E1629" w:rsidRDefault="00000000">
      <w:pPr>
        <w:spacing w:before="60" w:after="60"/>
      </w:pPr>
      <w:r>
        <w:rPr>
          <w:b/>
          <w:bCs/>
          <w:color w:val="1F3864"/>
        </w:rPr>
        <w:t xml:space="preserve">Tags to Add: </w:t>
      </w:r>
      <w:r>
        <w:rPr>
          <w:color w:val="000000"/>
        </w:rPr>
        <w:t>Theme-</w:t>
      </w:r>
      <w:proofErr w:type="spellStart"/>
      <w:r>
        <w:rPr>
          <w:color w:val="000000"/>
        </w:rPr>
        <w:t>SWEnabledHW</w:t>
      </w:r>
      <w:proofErr w:type="spellEnd"/>
    </w:p>
    <w:p w14:paraId="21E55D6C" w14:textId="77777777" w:rsidR="000E1629" w:rsidRDefault="00000000">
      <w:pPr>
        <w:spacing w:before="60" w:after="60"/>
      </w:pPr>
      <w:r>
        <w:rPr>
          <w:b/>
          <w:bCs/>
          <w:color w:val="1F3864"/>
        </w:rPr>
        <w:t xml:space="preserve">Note: </w:t>
      </w:r>
      <w:r>
        <w:rPr>
          <w:color w:val="000000"/>
        </w:rPr>
        <w:t xml:space="preserve">DEALUM_TOKEN not configured in this session — update manually in </w:t>
      </w:r>
      <w:proofErr w:type="spellStart"/>
      <w:r>
        <w:rPr>
          <w:color w:val="000000"/>
        </w:rPr>
        <w:t>Dealum</w:t>
      </w:r>
      <w:proofErr w:type="spellEnd"/>
      <w:r>
        <w:rPr>
          <w:color w:val="000000"/>
        </w:rPr>
        <w:t xml:space="preserve"> or re-run after configuring credentials.</w:t>
      </w:r>
    </w:p>
    <w:sectPr w:rsidR="000E1629">
      <w:headerReference w:type="default" r:id="rId7"/>
      <w:footerReference w:type="default" r:id="rId8"/>
      <w:pgSz w:w="12240" w:h="15840"/>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6D0C5E" w14:textId="77777777" w:rsidR="00EC3EF4" w:rsidRDefault="00EC3EF4">
      <w:r>
        <w:separator/>
      </w:r>
    </w:p>
  </w:endnote>
  <w:endnote w:type="continuationSeparator" w:id="0">
    <w:p w14:paraId="0FDC3283" w14:textId="77777777" w:rsidR="00EC3EF4" w:rsidRDefault="00EC3E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5A742" w14:textId="77777777" w:rsidR="000E1629" w:rsidRDefault="00000000">
    <w:pPr>
      <w:pBdr>
        <w:top w:val="single" w:sz="6" w:space="4" w:color="1F3864"/>
      </w:pBdr>
      <w:tabs>
        <w:tab w:val="right" w:pos="9026"/>
      </w:tabs>
    </w:pPr>
    <w:proofErr w:type="spellStart"/>
    <w:r>
      <w:rPr>
        <w:color w:val="666666"/>
        <w:sz w:val="14"/>
        <w:szCs w:val="14"/>
      </w:rPr>
      <w:t>NWAi</w:t>
    </w:r>
    <w:proofErr w:type="spellEnd"/>
    <w:r>
      <w:rPr>
        <w:color w:val="666666"/>
        <w:sz w:val="14"/>
        <w:szCs w:val="14"/>
      </w:rPr>
      <w:t xml:space="preserve"> Investment Intelligence — Confidential</w:t>
    </w:r>
    <w:r>
      <w:rPr>
        <w:sz w:val="14"/>
        <w:szCs w:val="14"/>
      </w:rPr>
      <w:tab/>
    </w:r>
    <w:r>
      <w:rPr>
        <w:color w:val="666666"/>
        <w:sz w:val="14"/>
        <w:szCs w:val="14"/>
      </w:rPr>
      <w:fldChar w:fldCharType="begin"/>
    </w:r>
    <w:r>
      <w:rPr>
        <w:color w:val="666666"/>
        <w:sz w:val="14"/>
        <w:szCs w:val="14"/>
      </w:rPr>
      <w:instrText>PAGE</w:instrText>
    </w:r>
    <w:r>
      <w:rPr>
        <w:color w:val="666666"/>
        <w:sz w:val="14"/>
        <w:szCs w:val="14"/>
      </w:rPr>
      <w:fldChar w:fldCharType="separate"/>
    </w:r>
    <w:r w:rsidR="00C134AF">
      <w:rPr>
        <w:noProof/>
        <w:color w:val="666666"/>
        <w:sz w:val="14"/>
        <w:szCs w:val="14"/>
      </w:rPr>
      <w:t>1</w:t>
    </w:r>
    <w:r>
      <w:rPr>
        <w:color w:val="666666"/>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2ED55" w14:textId="77777777" w:rsidR="00EC3EF4" w:rsidRDefault="00EC3EF4">
      <w:r>
        <w:separator/>
      </w:r>
    </w:p>
  </w:footnote>
  <w:footnote w:type="continuationSeparator" w:id="0">
    <w:p w14:paraId="0148BD78" w14:textId="77777777" w:rsidR="00EC3EF4" w:rsidRDefault="00EC3E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031ED" w14:textId="77777777" w:rsidR="000E1629" w:rsidRPr="00C134AF" w:rsidRDefault="00000000">
    <w:pPr>
      <w:pBdr>
        <w:bottom w:val="single" w:sz="6" w:space="4" w:color="1F3864"/>
      </w:pBdr>
      <w:tabs>
        <w:tab w:val="right" w:pos="9026"/>
      </w:tabs>
      <w:rPr>
        <w:lang w:val="fr-FR"/>
      </w:rPr>
    </w:pPr>
    <w:r w:rsidRPr="00C134AF">
      <w:rPr>
        <w:b/>
        <w:bCs/>
        <w:color w:val="1F3864"/>
        <w:sz w:val="16"/>
        <w:szCs w:val="16"/>
        <w:lang w:val="fr-FR"/>
      </w:rPr>
      <w:t>NWAi TechGroup — Scout Assessment Report</w:t>
    </w:r>
    <w:r w:rsidRPr="00C134AF">
      <w:rPr>
        <w:color w:val="666666"/>
        <w:sz w:val="16"/>
        <w:szCs w:val="16"/>
        <w:lang w:val="fr-FR"/>
      </w:rPr>
      <w:tab/>
      <w:t>2026-03-17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806583"/>
    <w:multiLevelType w:val="hybridMultilevel"/>
    <w:tmpl w:val="2F1A7790"/>
    <w:lvl w:ilvl="0" w:tplc="2D0A572A">
      <w:start w:val="1"/>
      <w:numFmt w:val="bullet"/>
      <w:lvlText w:val="•"/>
      <w:lvlJc w:val="left"/>
      <w:pPr>
        <w:spacing w:before="40" w:after="40"/>
        <w:ind w:left="720" w:hanging="360"/>
      </w:pPr>
    </w:lvl>
    <w:lvl w:ilvl="1" w:tplc="7B1EA952">
      <w:numFmt w:val="decimal"/>
      <w:lvlText w:val=""/>
      <w:lvlJc w:val="left"/>
    </w:lvl>
    <w:lvl w:ilvl="2" w:tplc="1B12DEF6">
      <w:numFmt w:val="decimal"/>
      <w:lvlText w:val=""/>
      <w:lvlJc w:val="left"/>
    </w:lvl>
    <w:lvl w:ilvl="3" w:tplc="0268B8B6">
      <w:numFmt w:val="decimal"/>
      <w:lvlText w:val=""/>
      <w:lvlJc w:val="left"/>
    </w:lvl>
    <w:lvl w:ilvl="4" w:tplc="BA0CF416">
      <w:numFmt w:val="decimal"/>
      <w:lvlText w:val=""/>
      <w:lvlJc w:val="left"/>
    </w:lvl>
    <w:lvl w:ilvl="5" w:tplc="ACFE23D8">
      <w:numFmt w:val="decimal"/>
      <w:lvlText w:val=""/>
      <w:lvlJc w:val="left"/>
    </w:lvl>
    <w:lvl w:ilvl="6" w:tplc="7E261DB8">
      <w:numFmt w:val="decimal"/>
      <w:lvlText w:val=""/>
      <w:lvlJc w:val="left"/>
    </w:lvl>
    <w:lvl w:ilvl="7" w:tplc="5BD465D4">
      <w:numFmt w:val="decimal"/>
      <w:lvlText w:val=""/>
      <w:lvlJc w:val="left"/>
    </w:lvl>
    <w:lvl w:ilvl="8" w:tplc="FBF21132">
      <w:numFmt w:val="decimal"/>
      <w:lvlText w:val=""/>
      <w:lvlJc w:val="left"/>
    </w:lvl>
  </w:abstractNum>
  <w:abstractNum w:abstractNumId="1" w15:restartNumberingAfterBreak="0">
    <w:nsid w:val="5F6E3D2C"/>
    <w:multiLevelType w:val="hybridMultilevel"/>
    <w:tmpl w:val="1C4AACBA"/>
    <w:lvl w:ilvl="0" w:tplc="DED6562C">
      <w:start w:val="1"/>
      <w:numFmt w:val="bullet"/>
      <w:lvlText w:val="●"/>
      <w:lvlJc w:val="left"/>
      <w:pPr>
        <w:ind w:left="720" w:hanging="360"/>
      </w:pPr>
    </w:lvl>
    <w:lvl w:ilvl="1" w:tplc="57AA6F08">
      <w:start w:val="1"/>
      <w:numFmt w:val="bullet"/>
      <w:lvlText w:val="○"/>
      <w:lvlJc w:val="left"/>
      <w:pPr>
        <w:ind w:left="1440" w:hanging="360"/>
      </w:pPr>
    </w:lvl>
    <w:lvl w:ilvl="2" w:tplc="E3EEA2DA">
      <w:start w:val="1"/>
      <w:numFmt w:val="bullet"/>
      <w:lvlText w:val="■"/>
      <w:lvlJc w:val="left"/>
      <w:pPr>
        <w:ind w:left="2160" w:hanging="360"/>
      </w:pPr>
    </w:lvl>
    <w:lvl w:ilvl="3" w:tplc="FB3486EE">
      <w:start w:val="1"/>
      <w:numFmt w:val="bullet"/>
      <w:lvlText w:val="●"/>
      <w:lvlJc w:val="left"/>
      <w:pPr>
        <w:ind w:left="2880" w:hanging="360"/>
      </w:pPr>
    </w:lvl>
    <w:lvl w:ilvl="4" w:tplc="02D27B50">
      <w:start w:val="1"/>
      <w:numFmt w:val="bullet"/>
      <w:lvlText w:val="○"/>
      <w:lvlJc w:val="left"/>
      <w:pPr>
        <w:ind w:left="3600" w:hanging="360"/>
      </w:pPr>
    </w:lvl>
    <w:lvl w:ilvl="5" w:tplc="27460A74">
      <w:start w:val="1"/>
      <w:numFmt w:val="bullet"/>
      <w:lvlText w:val="■"/>
      <w:lvlJc w:val="left"/>
      <w:pPr>
        <w:ind w:left="4320" w:hanging="360"/>
      </w:pPr>
    </w:lvl>
    <w:lvl w:ilvl="6" w:tplc="61C06CE4">
      <w:start w:val="1"/>
      <w:numFmt w:val="bullet"/>
      <w:lvlText w:val="●"/>
      <w:lvlJc w:val="left"/>
      <w:pPr>
        <w:ind w:left="5040" w:hanging="360"/>
      </w:pPr>
    </w:lvl>
    <w:lvl w:ilvl="7" w:tplc="F9A86B94">
      <w:start w:val="1"/>
      <w:numFmt w:val="bullet"/>
      <w:lvlText w:val="●"/>
      <w:lvlJc w:val="left"/>
      <w:pPr>
        <w:ind w:left="5760" w:hanging="360"/>
      </w:pPr>
    </w:lvl>
    <w:lvl w:ilvl="8" w:tplc="A9166226">
      <w:start w:val="1"/>
      <w:numFmt w:val="bullet"/>
      <w:lvlText w:val="●"/>
      <w:lvlJc w:val="left"/>
      <w:pPr>
        <w:ind w:left="6480" w:hanging="360"/>
      </w:pPr>
    </w:lvl>
  </w:abstractNum>
  <w:abstractNum w:abstractNumId="2" w15:restartNumberingAfterBreak="0">
    <w:nsid w:val="73EE49D0"/>
    <w:multiLevelType w:val="hybridMultilevel"/>
    <w:tmpl w:val="0C020A46"/>
    <w:lvl w:ilvl="0" w:tplc="6572659A">
      <w:start w:val="1"/>
      <w:numFmt w:val="decimal"/>
      <w:lvlText w:val="%1."/>
      <w:lvlJc w:val="left"/>
      <w:pPr>
        <w:spacing w:before="60" w:after="60"/>
        <w:ind w:left="720" w:hanging="360"/>
      </w:pPr>
    </w:lvl>
    <w:lvl w:ilvl="1" w:tplc="3FD0842C">
      <w:numFmt w:val="decimal"/>
      <w:lvlText w:val=""/>
      <w:lvlJc w:val="left"/>
    </w:lvl>
    <w:lvl w:ilvl="2" w:tplc="1FF0AAA4">
      <w:numFmt w:val="decimal"/>
      <w:lvlText w:val=""/>
      <w:lvlJc w:val="left"/>
    </w:lvl>
    <w:lvl w:ilvl="3" w:tplc="D222F40A">
      <w:numFmt w:val="decimal"/>
      <w:lvlText w:val=""/>
      <w:lvlJc w:val="left"/>
    </w:lvl>
    <w:lvl w:ilvl="4" w:tplc="BBAE8088">
      <w:numFmt w:val="decimal"/>
      <w:lvlText w:val=""/>
      <w:lvlJc w:val="left"/>
    </w:lvl>
    <w:lvl w:ilvl="5" w:tplc="4C14EAA4">
      <w:numFmt w:val="decimal"/>
      <w:lvlText w:val=""/>
      <w:lvlJc w:val="left"/>
    </w:lvl>
    <w:lvl w:ilvl="6" w:tplc="3AAC2364">
      <w:numFmt w:val="decimal"/>
      <w:lvlText w:val=""/>
      <w:lvlJc w:val="left"/>
    </w:lvl>
    <w:lvl w:ilvl="7" w:tplc="00C842DC">
      <w:numFmt w:val="decimal"/>
      <w:lvlText w:val=""/>
      <w:lvlJc w:val="left"/>
    </w:lvl>
    <w:lvl w:ilvl="8" w:tplc="3DF073BE">
      <w:numFmt w:val="decimal"/>
      <w:lvlText w:val=""/>
      <w:lvlJc w:val="left"/>
    </w:lvl>
  </w:abstractNum>
  <w:num w:numId="1" w16cid:durableId="934479462">
    <w:abstractNumId w:val="1"/>
    <w:lvlOverride w:ilvl="0">
      <w:startOverride w:val="1"/>
    </w:lvlOverride>
  </w:num>
  <w:num w:numId="2" w16cid:durableId="71161912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1629"/>
    <w:rsid w:val="000E1629"/>
    <w:rsid w:val="005C6FF7"/>
    <w:rsid w:val="00C134AF"/>
    <w:rsid w:val="00EC3EF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37EEF62B"/>
  <w15:docId w15:val="{6B8AE2A9-B9EE-BD49-98B4-C5D87062CF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8"/>
        <w:szCs w:val="18"/>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1251</Words>
  <Characters>8035</Characters>
  <Application>Microsoft Office Word</Application>
  <DocSecurity>0</DocSecurity>
  <Lines>137</Lines>
  <Paragraphs>56</Paragraphs>
  <ScaleCrop>false</ScaleCrop>
  <Company/>
  <LinksUpToDate>false</LinksUpToDate>
  <CharactersWithSpaces>9253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jamie allison</cp:lastModifiedBy>
  <cp:revision>2</cp:revision>
  <dcterms:created xsi:type="dcterms:W3CDTF">2026-03-17T23:33:00Z</dcterms:created>
  <dcterms:modified xsi:type="dcterms:W3CDTF">2026-03-17T23:34:00Z</dcterms:modified>
</cp:coreProperties>
</file>