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pPr>
      <w:r>
        <w:rPr>
          <w:rFonts w:ascii="Arial" w:cs="Arial" w:eastAsia="Arial" w:hAnsi="Arial"/>
          <w:b/>
          <w:bCs/>
          <w:color w:val="1F3864"/>
          <w:sz w:val="36"/>
          <w:szCs w:val="36"/>
        </w:rPr>
        <w:t xml:space="preserve">NWAi TechGroup</w:t>
      </w:r>
    </w:p>
    <w:p>
      <w:pPr>
        <w:pBdr>
          <w:bottom w:val="single" w:color="1F3864" w:sz="12" w:space="4"/>
        </w:pBdr>
        <w:spacing w:after="120" w:before="0"/>
      </w:pPr>
      <w:r>
        <w:rPr>
          <w:rFonts w:ascii="Arial" w:cs="Arial" w:eastAsia="Arial" w:hAnsi="Arial"/>
          <w:b/>
          <w:bCs/>
          <w:color w:val="1F3864"/>
          <w:sz w:val="52"/>
          <w:szCs w:val="52"/>
        </w:rPr>
        <w:t xml:space="preserve">Diligence Kickoff Package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Company</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Synergist Technology</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Product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AFFIRM — AI-driven IT Operations Platform (AIOps)</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Sector</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Enterprise AIOps / Federal IT Operations</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Stage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Pre-Series A — Series A $10–15M planned late 2026 / early 2027</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Structure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LLC  ❌  RED FLAG — C-Corp conversion required before investment</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Package Date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March 16, 2026</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Prepared By</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NWAi Investment Intelligence — TechGroup</w:t>
            </w:r>
          </w:p>
        </w:tc>
      </w:tr>
    </w:tbl>
    <w:p>
      <w:pPr>
        <w:spacing w:after="0" w:before="0"/>
      </w:pPr>
      <w:r>
        <w:t xml:space="preserve"/>
      </w:r>
    </w:p>
    <w:p>
      <w:r>
        <w:br w:type="page"/>
      </w:r>
    </w:p>
    <w:p>
      <w:pPr>
        <w:pBdr>
          <w:bottom w:val="single" w:color="1F3864" w:sz="6" w:space="4"/>
        </w:pBdr>
        <w:spacing w:after="100" w:before="280"/>
      </w:pPr>
      <w:r>
        <w:rPr>
          <w:rFonts w:ascii="Arial" w:cs="Arial" w:eastAsia="Arial" w:hAnsi="Arial"/>
          <w:b/>
          <w:bCs/>
          <w:color w:val="1F3864"/>
          <w:sz w:val="26"/>
          <w:szCs w:val="26"/>
        </w:rPr>
        <w:t xml:space="preserve">Part A — Deal Brief</w:t>
      </w:r>
    </w:p>
    <w:p>
      <w:pPr>
        <w:spacing w:after="0" w:before="0"/>
      </w:pPr>
      <w:r>
        <w:t xml:space="preserve"/>
      </w:r>
    </w:p>
    <w:p>
      <w:pPr>
        <w:spacing w:after="60" w:before="200"/>
      </w:pPr>
      <w:r>
        <w:rPr>
          <w:rFonts w:ascii="Arial" w:cs="Arial" w:eastAsia="Arial" w:hAnsi="Arial"/>
          <w:b/>
          <w:bCs/>
          <w:color w:val="1F3864"/>
          <w:sz w:val="22"/>
          <w:szCs w:val="22"/>
        </w:rPr>
        <w:t xml:space="preserve">Company Overview</w:t>
      </w:r>
    </w:p>
    <w:p>
      <w:pPr>
        <w:spacing w:after="60" w:before="60"/>
      </w:pPr>
      <w:r>
        <w:rPr>
          <w:rFonts w:ascii="Arial" w:cs="Arial" w:eastAsia="Arial" w:hAnsi="Arial"/>
          <w:b w:val="false"/>
          <w:bCs w:val="false"/>
          <w:color w:val="000000"/>
          <w:sz w:val="20"/>
          <w:szCs w:val="20"/>
        </w:rPr>
        <w:t xml:space="preserve">Synergist Technology is the developer of AFFIRM, an AI-powered AIOps platform designed to automate IT operations monitoring, incident detection, and resolution for federal agencies and large enterprise IT teams. AFFIRM ingests telemetry from multi-cloud and hybrid environments, applies machine learning models to surface anomalies and recommended actions, and integrates natively with ServiceNow ITSM workflows.</w:t>
      </w:r>
    </w:p>
    <w:p>
      <w:pPr>
        <w:spacing w:after="0" w:before="0"/>
      </w:pPr>
      <w:r>
        <w:t xml:space="preserve"/>
      </w:r>
    </w:p>
    <w:p>
      <w:pPr>
        <w:spacing w:after="60" w:before="200"/>
      </w:pPr>
      <w:r>
        <w:rPr>
          <w:rFonts w:ascii="Arial" w:cs="Arial" w:eastAsia="Arial" w:hAnsi="Arial"/>
          <w:b/>
          <w:bCs/>
          <w:color w:val="1F3864"/>
          <w:sz w:val="22"/>
          <w:szCs w:val="22"/>
        </w:rPr>
        <w:t xml:space="preserve">Scout Thesis (Carried Forward)</w:t>
      </w:r>
    </w:p>
    <w:p>
      <w:pPr>
        <w:spacing w:after="60" w:before="60"/>
      </w:pPr>
      <w:r>
        <w:rPr>
          <w:rFonts w:ascii="Arial" w:cs="Arial" w:eastAsia="Arial" w:hAnsi="Arial"/>
          <w:b w:val="false"/>
          <w:bCs w:val="false"/>
          <w:color w:val="000000"/>
          <w:sz w:val="20"/>
          <w:szCs w:val="20"/>
        </w:rPr>
        <w:t xml:space="preserve">AFFIRM is positioned at the intersection of two durable trends: the federal IT modernization mandate and the AIOps market's shift from reactive monitoring to predictive, AI-driven operations. The CDW partnership — which has built a branded 'CDW AI Model Managed Services' product powered by AFFIRM — provides validated enterprise go-to-market and reduces early adoption risk. The platform accumulates customer-specific telemetry and workflow context over time, creating real switching costs and a Memory Lock-in moat as deployment depth increases.</w:t>
      </w:r>
    </w:p>
    <w:p>
      <w:pPr>
        <w:spacing w:after="0" w:before="0"/>
      </w:pPr>
      <w:r>
        <w:t xml:space="preserve"/>
      </w:r>
    </w:p>
    <w:p>
      <w:pPr>
        <w:spacing w:after="60" w:before="200"/>
      </w:pPr>
      <w:r>
        <w:rPr>
          <w:rFonts w:ascii="Arial" w:cs="Arial" w:eastAsia="Arial" w:hAnsi="Arial"/>
          <w:b/>
          <w:bCs/>
          <w:color w:val="1F3864"/>
          <w:sz w:val="22"/>
          <w:szCs w:val="22"/>
        </w:rPr>
        <w:t xml:space="preserve">TechGroup Theme</w:t>
      </w:r>
    </w:p>
    <w:p>
      <w:pPr>
        <w:spacing w:after="60" w:before="60"/>
      </w:pPr>
      <w:r>
        <w:rPr>
          <w:rFonts w:ascii="Arial" w:cs="Arial" w:eastAsia="Arial" w:hAnsi="Arial"/>
          <w:b w:val="false"/>
          <w:bCs w:val="false"/>
          <w:color w:val="000000"/>
          <w:sz w:val="20"/>
          <w:szCs w:val="20"/>
        </w:rPr>
        <w:t xml:space="preserve">Theme 3 — WorkTech &amp; Vertical Enterprise OS | Lead: TBD (Pending Dealum API) | SMEs: TBD (Pending Dealum API)</w:t>
      </w:r>
    </w:p>
    <w:p>
      <w:pPr>
        <w:spacing w:after="0" w:before="0"/>
      </w:pPr>
      <w:r>
        <w:t xml:space="preserve"/>
      </w:r>
    </w:p>
    <w:p>
      <w:pPr>
        <w:spacing w:after="60" w:before="200"/>
      </w:pPr>
      <w:r>
        <w:rPr>
          <w:rFonts w:ascii="Arial" w:cs="Arial" w:eastAsia="Arial" w:hAnsi="Arial"/>
          <w:b/>
          <w:bCs/>
          <w:color w:val="1F3864"/>
          <w:sz w:val="22"/>
          <w:szCs w:val="22"/>
        </w:rPr>
        <w:t xml:space="preserve">Key Flags from Prior Stages</w:t>
      </w:r>
    </w:p>
    <w:p>
      <w:pPr>
        <w:shd w:fill="FCE4D6" w:val="clear"/>
        <w:spacing w:after="60" w:before="60"/>
        <w:ind w:left="200"/>
      </w:pPr>
      <w:r>
        <w:rPr>
          <w:rFonts w:ascii="Arial" w:cs="Arial" w:eastAsia="Arial" w:hAnsi="Arial"/>
          <w:b/>
          <w:bCs/>
          <w:sz w:val="20"/>
          <w:szCs w:val="20"/>
        </w:rPr>
        <w:t xml:space="preserve">❌ </w:t>
      </w:r>
      <w:r>
        <w:rPr>
          <w:rFonts w:ascii="Arial" w:cs="Arial" w:eastAsia="Arial" w:hAnsi="Arial"/>
          <w:b/>
          <w:bCs/>
          <w:sz w:val="20"/>
          <w:szCs w:val="20"/>
        </w:rPr>
        <w:t xml:space="preserve">LLC Structure — </w:t>
      </w:r>
      <w:r>
        <w:rPr>
          <w:rFonts w:ascii="Arial" w:cs="Arial" w:eastAsia="Arial" w:hAnsi="Arial"/>
          <w:sz w:val="20"/>
          <w:szCs w:val="20"/>
        </w:rPr>
        <w:t xml:space="preserve">Synergist Technology operates as an LLC. NWAi investment criteria require C-Corp structure. This is an AutoKill flag that must be resolved before any term sheet can be issued. C-Corp conversion plan and timeline must be confirmed as a condition of advancing.</w:t>
      </w:r>
    </w:p>
    <w:p>
      <w:pPr>
        <w:spacing w:after="0" w:before="0"/>
      </w:pPr>
      <w:r>
        <w:t xml:space="preserve"/>
      </w:r>
    </w:p>
    <w:p>
      <w:pPr>
        <w:shd w:fill="FFF2CC" w:val="clear"/>
        <w:spacing w:after="60" w:before="60"/>
        <w:ind w:left="200"/>
      </w:pPr>
      <w:r>
        <w:rPr>
          <w:rFonts w:ascii="Arial" w:cs="Arial" w:eastAsia="Arial" w:hAnsi="Arial"/>
          <w:b/>
          <w:bCs/>
          <w:sz w:val="20"/>
          <w:szCs w:val="20"/>
        </w:rPr>
        <w:t xml:space="preserve">⚠️ </w:t>
      </w:r>
      <w:r>
        <w:rPr>
          <w:rFonts w:ascii="Arial" w:cs="Arial" w:eastAsia="Arial" w:hAnsi="Arial"/>
          <w:b/>
          <w:bCs/>
          <w:sz w:val="20"/>
          <w:szCs w:val="20"/>
        </w:rPr>
        <w:t xml:space="preserve">FedRAMP Inherited — Not Standalone — </w:t>
      </w:r>
      <w:r>
        <w:rPr>
          <w:rFonts w:ascii="Arial" w:cs="Arial" w:eastAsia="Arial" w:hAnsi="Arial"/>
          <w:sz w:val="20"/>
          <w:szCs w:val="20"/>
        </w:rPr>
        <w:t xml:space="preserve">The FedRAMP Compliance Attestation Letter (Project Hosts CISO, Dec 22 2025) confirms AFFIRM controls are implemented under Project Hosts' existing FedRAMP ATO, not a standalone Synergist authorization. This is a weaker competitive moat claim than presented — competitors can achieve equivalent compliance via the same Project Hosts path.</w:t>
      </w:r>
    </w:p>
    <w:p>
      <w:pPr>
        <w:spacing w:after="0" w:before="0"/>
      </w:pPr>
      <w:r>
        <w:t xml:space="preserve"/>
      </w:r>
    </w:p>
    <w:p>
      <w:pPr>
        <w:shd w:fill="FFF2CC" w:val="clear"/>
        <w:spacing w:after="60" w:before="60"/>
        <w:ind w:left="200"/>
      </w:pPr>
      <w:r>
        <w:rPr>
          <w:rFonts w:ascii="Arial" w:cs="Arial" w:eastAsia="Arial" w:hAnsi="Arial"/>
          <w:b/>
          <w:bCs/>
          <w:sz w:val="20"/>
          <w:szCs w:val="20"/>
        </w:rPr>
        <w:t xml:space="preserve">⚠️ </w:t>
      </w:r>
      <w:r>
        <w:rPr>
          <w:rFonts w:ascii="Arial" w:cs="Arial" w:eastAsia="Arial" w:hAnsi="Arial"/>
          <w:b/>
          <w:bCs/>
          <w:sz w:val="20"/>
          <w:szCs w:val="20"/>
        </w:rPr>
        <w:t xml:space="preserve">Pricing Below $7,500 Floor — </w:t>
      </w:r>
      <w:r>
        <w:rPr>
          <w:rFonts w:ascii="Arial" w:cs="Arial" w:eastAsia="Arial" w:hAnsi="Arial"/>
          <w:sz w:val="20"/>
          <w:szCs w:val="20"/>
        </w:rPr>
        <w:t xml:space="preserve">Current average contract value across 5 customers is ~$4,875 — below the stated $7,500 per-customer price floor. This may reflect early/pilot pricing or pricing concessions. Path to repricing at launch rates must be confirmed.</w:t>
      </w:r>
    </w:p>
    <w:p>
      <w:pPr>
        <w:spacing w:after="0" w:before="0"/>
      </w:pPr>
      <w:r>
        <w:t xml:space="preserve"/>
      </w:r>
    </w:p>
    <w:p>
      <w:pPr>
        <w:shd w:fill="FFF2CC" w:val="clear"/>
        <w:spacing w:after="60" w:before="60"/>
        <w:ind w:left="200"/>
      </w:pPr>
      <w:r>
        <w:rPr>
          <w:rFonts w:ascii="Arial" w:cs="Arial" w:eastAsia="Arial" w:hAnsi="Arial"/>
          <w:b/>
          <w:bCs/>
          <w:sz w:val="20"/>
          <w:szCs w:val="20"/>
        </w:rPr>
        <w:t xml:space="preserve">⚠️ </w:t>
      </w:r>
      <w:r>
        <w:rPr>
          <w:rFonts w:ascii="Arial" w:cs="Arial" w:eastAsia="Arial" w:hAnsi="Arial"/>
          <w:b/>
          <w:bCs/>
          <w:sz w:val="20"/>
          <w:szCs w:val="20"/>
        </w:rPr>
        <w:t xml:space="preserve">Revenue Discrepancy — </w:t>
      </w:r>
      <w:r>
        <w:rPr>
          <w:rFonts w:ascii="Arial" w:cs="Arial" w:eastAsia="Arial" w:hAnsi="Arial"/>
          <w:sz w:val="20"/>
          <w:szCs w:val="20"/>
        </w:rPr>
        <w:t xml:space="preserve">Pitch deck states Q1 2026 actual revenue of $24,375 (5 customers). The 2026 Budget xlsx shows Q1 budget of $1,530. These figures are materially inconsistent and must be reconciled before the financial model can be assessed.</w:t>
      </w:r>
    </w:p>
    <w:p>
      <w:pPr>
        <w:spacing w:after="0" w:before="0"/>
      </w:pPr>
      <w:r>
        <w:t xml:space="preserve"/>
      </w:r>
    </w:p>
    <w:p>
      <w:pPr>
        <w:spacing w:after="60" w:before="200"/>
      </w:pPr>
      <w:r>
        <w:rPr>
          <w:rFonts w:ascii="Arial" w:cs="Arial" w:eastAsia="Arial" w:hAnsi="Arial"/>
          <w:b/>
          <w:bCs/>
          <w:color w:val="1F3864"/>
          <w:sz w:val="22"/>
          <w:szCs w:val="22"/>
        </w:rPr>
        <w:t xml:space="preserve">Data Room Files Reviewed</w:t>
      </w:r>
    </w:p>
    <w:p>
      <w:pPr>
        <w:pStyle w:val="ListParagraph"/>
        <w:numPr>
          <w:ilvl w:val="0"/>
          <w:numId w:val="2"/>
        </w:numPr>
        <w:spacing w:after="40" w:before="40"/>
      </w:pPr>
      <w:r>
        <w:rPr>
          <w:rFonts w:ascii="Arial" w:cs="Arial" w:eastAsia="Arial" w:hAnsi="Arial"/>
          <w:sz w:val="20"/>
          <w:szCs w:val="20"/>
        </w:rPr>
        <w:t xml:space="preserve">Synergist Technology Investor Deck (02/22/2026) — 16 pages</w:t>
      </w:r>
    </w:p>
    <w:p>
      <w:pPr>
        <w:pStyle w:val="ListParagraph"/>
        <w:numPr>
          <w:ilvl w:val="0"/>
          <w:numId w:val="2"/>
        </w:numPr>
        <w:spacing w:after="40" w:before="40"/>
      </w:pPr>
      <w:r>
        <w:rPr>
          <w:rFonts w:ascii="Arial" w:cs="Arial" w:eastAsia="Arial" w:hAnsi="Arial"/>
          <w:sz w:val="20"/>
          <w:szCs w:val="20"/>
        </w:rPr>
        <w:t xml:space="preserve">Live Pitch Transcript (03/2026)</w:t>
      </w:r>
    </w:p>
    <w:p>
      <w:pPr>
        <w:pStyle w:val="ListParagraph"/>
        <w:numPr>
          <w:ilvl w:val="0"/>
          <w:numId w:val="2"/>
        </w:numPr>
        <w:spacing w:after="40" w:before="40"/>
      </w:pPr>
      <w:r>
        <w:rPr>
          <w:rFonts w:ascii="Arial" w:cs="Arial" w:eastAsia="Arial" w:hAnsi="Arial"/>
          <w:sz w:val="20"/>
          <w:szCs w:val="20"/>
        </w:rPr>
        <w:t xml:space="preserve">Management Team.docx.pdf — Full team bios</w:t>
      </w:r>
    </w:p>
    <w:p>
      <w:pPr>
        <w:pStyle w:val="ListParagraph"/>
        <w:numPr>
          <w:ilvl w:val="0"/>
          <w:numId w:val="2"/>
        </w:numPr>
        <w:spacing w:after="40" w:before="40"/>
      </w:pPr>
      <w:r>
        <w:rPr>
          <w:rFonts w:ascii="Arial" w:cs="Arial" w:eastAsia="Arial" w:hAnsi="Arial"/>
          <w:sz w:val="20"/>
          <w:szCs w:val="20"/>
        </w:rPr>
        <w:t xml:space="preserve">Affirm FedRAMP Compliance Attestation Letter (Project Hosts, Dec 22 2025)</w:t>
      </w:r>
    </w:p>
    <w:p>
      <w:pPr>
        <w:pStyle w:val="ListParagraph"/>
        <w:numPr>
          <w:ilvl w:val="0"/>
          <w:numId w:val="2"/>
        </w:numPr>
        <w:spacing w:after="40" w:before="40"/>
      </w:pPr>
      <w:r>
        <w:rPr>
          <w:rFonts w:ascii="Arial" w:cs="Arial" w:eastAsia="Arial" w:hAnsi="Arial"/>
          <w:sz w:val="20"/>
          <w:szCs w:val="20"/>
        </w:rPr>
        <w:t xml:space="preserve">CDW Sell Sheet — AI Model Managed Services v202603</w:t>
      </w:r>
    </w:p>
    <w:p>
      <w:pPr>
        <w:pStyle w:val="ListParagraph"/>
        <w:numPr>
          <w:ilvl w:val="0"/>
          <w:numId w:val="2"/>
        </w:numPr>
        <w:spacing w:after="40" w:before="40"/>
      </w:pPr>
      <w:r>
        <w:rPr>
          <w:rFonts w:ascii="Arial" w:cs="Arial" w:eastAsia="Arial" w:hAnsi="Arial"/>
          <w:sz w:val="20"/>
          <w:szCs w:val="20"/>
        </w:rPr>
        <w:t xml:space="preserve">Synergist Capital Strategy.docx.pdf</w:t>
      </w:r>
    </w:p>
    <w:p>
      <w:pPr>
        <w:pStyle w:val="ListParagraph"/>
        <w:numPr>
          <w:ilvl w:val="0"/>
          <w:numId w:val="2"/>
        </w:numPr>
        <w:spacing w:after="40" w:before="40"/>
      </w:pPr>
      <w:r>
        <w:rPr>
          <w:rFonts w:ascii="Arial" w:cs="Arial" w:eastAsia="Arial" w:hAnsi="Arial"/>
          <w:sz w:val="20"/>
          <w:szCs w:val="20"/>
        </w:rPr>
        <w:t xml:space="preserve">Synergist Competitor Matrix v1.pdf</w:t>
      </w:r>
    </w:p>
    <w:p>
      <w:pPr>
        <w:pStyle w:val="ListParagraph"/>
        <w:numPr>
          <w:ilvl w:val="0"/>
          <w:numId w:val="2"/>
        </w:numPr>
        <w:spacing w:after="40" w:before="40"/>
      </w:pPr>
      <w:r>
        <w:rPr>
          <w:rFonts w:ascii="Arial" w:cs="Arial" w:eastAsia="Arial" w:hAnsi="Arial"/>
          <w:sz w:val="20"/>
          <w:szCs w:val="20"/>
        </w:rPr>
        <w:t xml:space="preserve">Synergist Technology 2026 V1.xlsx — Budget P&amp;L</w:t>
      </w:r>
    </w:p>
    <w:p>
      <w:pPr>
        <w:pStyle w:val="ListParagraph"/>
        <w:numPr>
          <w:ilvl w:val="0"/>
          <w:numId w:val="2"/>
        </w:numPr>
        <w:spacing w:after="40" w:before="40"/>
      </w:pPr>
      <w:r>
        <w:rPr>
          <w:rFonts w:ascii="Arial" w:cs="Arial" w:eastAsia="Arial" w:hAnsi="Arial"/>
          <w:sz w:val="20"/>
          <w:szCs w:val="20"/>
        </w:rPr>
        <w:t xml:space="preserve">synergist-technology-llc_2026-03-10 Cap Table (xlsx)</w:t>
      </w:r>
    </w:p>
    <w:p>
      <w:pPr>
        <w:spacing w:after="0" w:before="0"/>
      </w:pPr>
      <w:r>
        <w:t xml:space="preserve"/>
      </w:r>
    </w:p>
    <w:p>
      <w:r>
        <w:br w:type="page"/>
      </w:r>
    </w:p>
    <w:p>
      <w:pPr>
        <w:pBdr>
          <w:bottom w:val="single" w:color="1F3864" w:sz="6" w:space="4"/>
        </w:pBdr>
        <w:spacing w:after="100" w:before="280"/>
      </w:pPr>
      <w:r>
        <w:rPr>
          <w:rFonts w:ascii="Arial" w:cs="Arial" w:eastAsia="Arial" w:hAnsi="Arial"/>
          <w:b/>
          <w:bCs/>
          <w:color w:val="1F3864"/>
          <w:sz w:val="26"/>
          <w:szCs w:val="26"/>
        </w:rPr>
        <w:t xml:space="preserve">Part B — Scored Assessment</w:t>
      </w:r>
    </w:p>
    <w:p>
      <w:pPr>
        <w:spacing w:after="0" w:before="0"/>
      </w:pPr>
      <w:r>
        <w:t xml:space="preserve"/>
      </w:r>
    </w:p>
    <w:p>
      <w:pPr>
        <w:spacing w:after="60" w:before="200"/>
      </w:pPr>
      <w:r>
        <w:rPr>
          <w:rFonts w:ascii="Arial" w:cs="Arial" w:eastAsia="Arial" w:hAnsi="Arial"/>
          <w:b/>
          <w:bCs/>
          <w:color w:val="1F3864"/>
          <w:sz w:val="22"/>
          <w:szCs w:val="22"/>
        </w:rPr>
        <w:t xml:space="preserve">Moat Scoring</w:t>
      </w:r>
    </w:p>
    <w:p>
      <w:pPr>
        <w:spacing w:after="60" w:before="60"/>
      </w:pPr>
      <w:r>
        <w:rPr>
          <w:rFonts w:ascii="Arial" w:cs="Arial" w:eastAsia="Arial" w:hAnsi="Arial"/>
          <w:b/>
          <w:bCs/>
          <w:color w:val="000000"/>
          <w:sz w:val="20"/>
          <w:szCs w:val="20"/>
        </w:rPr>
        <w:t xml:space="preserve">Tier 1 — General Business Moat (0–6):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3600"/>
        <w:gridCol w:w="5460"/>
      </w:tblGrid>
      <w:tr>
        <w:tc>
          <w:tcPr>
            <w:tcW w:type="dxa" w:w="3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3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Moat Element</w:t>
            </w:r>
          </w:p>
        </w:tc>
        <w:tc>
          <w:tcPr>
            <w:tcW w:type="dxa" w:w="54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Network Effects</w:t>
            </w:r>
          </w:p>
        </w:tc>
        <w:tc>
          <w:tcPr>
            <w:tcW w:type="dxa" w:w="5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 — No multi-sided marketplace; value does not compound as more users join. AIOps tools serve single enterprise tenants independently.</w:t>
            </w:r>
          </w:p>
        </w:tc>
      </w:tr>
      <w:tr>
        <w:tc>
          <w:tcPr>
            <w:tcW w:type="dxa" w:w="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2</w:t>
            </w:r>
          </w:p>
        </w:tc>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Switching Costs</w:t>
            </w:r>
          </w:p>
        </w:tc>
        <w:tc>
          <w:tcPr>
            <w:tcW w:type="dxa" w:w="54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r>
              <w:rPr>
                <w:rFonts w:ascii="Arial" w:cs="Arial" w:eastAsia="Arial" w:hAnsi="Arial"/>
                <w:sz w:val="20"/>
                <w:szCs w:val="20"/>
              </w:rPr>
              <w:t xml:space="preserve">✓ — Accumulated telemetry, workflow rules, and incident history are stored per-customer. Migrating to a competitor means losing this operational context. Real switching friction.</w:t>
            </w:r>
          </w:p>
        </w:tc>
      </w:tr>
      <w:tr>
        <w:tc>
          <w:tcPr>
            <w:tcW w:type="dxa" w:w="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3</w:t>
            </w:r>
          </w:p>
        </w:tc>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Proprietary Data</w:t>
            </w:r>
          </w:p>
        </w:tc>
        <w:tc>
          <w:tcPr>
            <w:tcW w:type="dxa" w:w="5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 — Customer telemetry is generated at run-time but training data is not confirmed as unique or inaccessible to competitors. No disclosed proprietary dataset.</w:t>
            </w:r>
          </w:p>
        </w:tc>
      </w:tr>
      <w:tr>
        <w:tc>
          <w:tcPr>
            <w:tcW w:type="dxa" w:w="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4</w:t>
            </w:r>
          </w:p>
        </w:tc>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IP / Patents</w:t>
            </w:r>
          </w:p>
        </w:tc>
        <w:tc>
          <w:tcPr>
            <w:tcW w:type="dxa" w:w="5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 — No patents filed or pending identified in data room. Core IP appears to be trade secrets and workflow algorithms.</w:t>
            </w:r>
          </w:p>
        </w:tc>
      </w:tr>
      <w:tr>
        <w:tc>
          <w:tcPr>
            <w:tcW w:type="dxa" w:w="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5</w:t>
            </w:r>
          </w:p>
        </w:tc>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Regulatory Barriers</w:t>
            </w:r>
          </w:p>
        </w:tc>
        <w:tc>
          <w:tcPr>
            <w:tcW w:type="dxa" w:w="54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r>
              <w:rPr>
                <w:rFonts w:ascii="Arial" w:cs="Arial" w:eastAsia="Arial" w:hAnsi="Arial"/>
                <w:sz w:val="20"/>
                <w:szCs w:val="20"/>
              </w:rPr>
              <w:t xml:space="preserve">✓ — FedRAMP compliance (inherited via Project Hosts) is a real barrier; most competitors must also clear this hurdle. Compliance layer is costly to replicate even via inheritance.</w:t>
            </w:r>
          </w:p>
        </w:tc>
      </w:tr>
      <w:tr>
        <w:tc>
          <w:tcPr>
            <w:tcW w:type="dxa" w:w="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6</w:t>
            </w:r>
          </w:p>
        </w:tc>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Vertical Specialization</w:t>
            </w:r>
          </w:p>
        </w:tc>
        <w:tc>
          <w:tcPr>
            <w:tcW w:type="dxa" w:w="54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r>
              <w:rPr>
                <w:rFonts w:ascii="Arial" w:cs="Arial" w:eastAsia="Arial" w:hAnsi="Arial"/>
                <w:sz w:val="20"/>
                <w:szCs w:val="20"/>
              </w:rPr>
              <w:t xml:space="preserve">✓ — Deep focus on federal and enterprise IT operations. ServiceNow integration depth and AIOps domain expertise are genuine differentiators in this niche.</w:t>
            </w:r>
          </w:p>
        </w:tc>
      </w:tr>
    </w:tbl>
    <w:p>
      <w:pPr>
        <w:spacing w:after="120" w:before="120"/>
      </w:pPr>
      <w:r>
        <w:rPr>
          <w:rFonts w:ascii="Arial" w:cs="Arial" w:eastAsia="Arial" w:hAnsi="Arial"/>
          <w:b/>
          <w:bCs/>
          <w:color w:val="000000"/>
          <w:sz w:val="20"/>
          <w:szCs w:val="20"/>
        </w:rPr>
        <w:t xml:space="preserve">Tier 1 General Moat Score: 3/6 — WEAK MOAT. Needs exceptional execution or CDW channel strength to compensate.</w:t>
      </w:r>
    </w:p>
    <w:p>
      <w:pPr>
        <w:spacing w:after="0" w:before="0"/>
      </w:pPr>
      <w:r>
        <w:t xml:space="preserve"/>
      </w:r>
    </w:p>
    <w:p>
      <w:pPr>
        <w:spacing w:after="60" w:before="60"/>
      </w:pPr>
      <w:r>
        <w:rPr>
          <w:rFonts w:ascii="Arial" w:cs="Arial" w:eastAsia="Arial" w:hAnsi="Arial"/>
          <w:b/>
          <w:bCs/>
          <w:color w:val="000000"/>
          <w:sz w:val="20"/>
          <w:szCs w:val="20"/>
        </w:rPr>
        <w:t xml:space="preserve">Tier 2 — AI Moat Scoring (0–10):</w:t>
      </w:r>
    </w:p>
    <w:p>
      <w:pPr>
        <w:spacing w:after="60" w:before="60"/>
      </w:pPr>
      <w:r>
        <w:rPr>
          <w:rFonts w:ascii="Arial" w:cs="Arial" w:eastAsia="Arial" w:hAnsi="Arial"/>
          <w:b w:val="false"/>
          <w:bCs w:val="false"/>
          <w:color w:val="000000"/>
          <w:sz w:val="20"/>
          <w:szCs w:val="20"/>
        </w:rPr>
        <w:t xml:space="preserve">Thin Wrapper Tests: Test 1 — Could be rebuilt using APIs in a weekend? NO — deep ServiceNow and telemetry workflow integration required. Test 2 — Value source: proprietary data flywheel + workflow integration, not just prompt engineering. Test 3 — Switching in under 1 week with no loss? NO — accumulated operational context cannot be migrated quickly. AFFIRM is NOT a thin wrapper.</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700"/>
        <w:gridCol w:w="4860"/>
      </w:tblGrid>
      <w:tr>
        <w:tc>
          <w:tcPr>
            <w:tcW w:type="dxa" w:w="9360"/>
            <w:gridSpan w:val="3"/>
            <w:tcBorders>
              <w:top w:val="nil" w:color="FFFFFF" w:sz="0"/>
              <w:left w:val="nil" w:color="FFFFFF" w:sz="0"/>
              <w:bottom w:val="nil" w:color="FFFFFF" w:sz="0"/>
              <w:right w:val="nil" w:color="FFFFFF" w:sz="0"/>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Cognitive / Data Moats (max 4 pts)</w:t>
            </w:r>
          </w:p>
        </w:tc>
      </w:tr>
      <w:tr>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Training Data Moat (2 pts)</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0</w:t>
            </w:r>
          </w:p>
        </w:tc>
        <w:tc>
          <w:tcPr>
            <w:tcW w:type="dxa" w:w="4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No unique training dataset confirmed. Customer telemetry is generated at runtime but no evidence that Synergist has assembled a proprietary corpus that competitors cannot replicate.</w:t>
            </w:r>
          </w:p>
        </w:tc>
      </w:tr>
      <w:tr>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Inference Data Moat (1 pt)</w:t>
            </w:r>
          </w:p>
        </w:tc>
        <w:tc>
          <w:tcPr>
            <w:tcW w:type="dxa" w:w="7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center"/>
            </w:pPr>
            <w:r>
              <w:rPr>
                <w:rFonts w:ascii="Arial" w:cs="Arial" w:eastAsia="Arial" w:hAnsi="Arial"/>
                <w:b/>
                <w:bCs/>
                <w:sz w:val="20"/>
                <w:szCs w:val="20"/>
              </w:rPr>
              <w:t xml:space="preserve">1</w:t>
            </w:r>
          </w:p>
        </w:tc>
        <w:tc>
          <w:tcPr>
            <w:tcW w:type="dxa" w:w="4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AFFIRM generates proprietary operational telemetry per customer as it is used — a real data flywheel that accumulates value over time.</w:t>
            </w:r>
          </w:p>
        </w:tc>
      </w:tr>
      <w:tr>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Memory Lock-in (1 pt)</w:t>
            </w:r>
          </w:p>
        </w:tc>
        <w:tc>
          <w:tcPr>
            <w:tcW w:type="dxa" w:w="7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center"/>
            </w:pPr>
            <w:r>
              <w:rPr>
                <w:rFonts w:ascii="Arial" w:cs="Arial" w:eastAsia="Arial" w:hAnsi="Arial"/>
                <w:b/>
                <w:bCs/>
                <w:sz w:val="20"/>
                <w:szCs w:val="20"/>
              </w:rPr>
              <w:t xml:space="preserve">1</w:t>
            </w:r>
          </w:p>
        </w:tc>
        <w:tc>
          <w:tcPr>
            <w:tcW w:type="dxa" w:w="4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Customer-specific incident history, workflow rules, and resolution context accumulate within AFFIRM. This stored context is the core switching cost mechanism.</w:t>
            </w:r>
          </w:p>
        </w:tc>
      </w:tr>
      <w:tr>
        <w:tc>
          <w:tcPr>
            <w:tcW w:type="dxa" w:w="9360"/>
            <w:gridSpan w:val="3"/>
            <w:tcBorders>
              <w:top w:val="nil" w:color="FFFFFF" w:sz="0"/>
              <w:left w:val="nil" w:color="FFFFFF" w:sz="0"/>
              <w:bottom w:val="nil" w:color="FFFFFF" w:sz="0"/>
              <w:right w:val="nil" w:color="FFFFFF" w:sz="0"/>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Capital / Compute Moats (max 2 pts)</w:t>
            </w:r>
          </w:p>
        </w:tc>
      </w:tr>
      <w:tr>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Custom Model Training (1 pt)</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0</w:t>
            </w:r>
          </w:p>
        </w:tc>
        <w:tc>
          <w:tcPr>
            <w:tcW w:type="dxa" w:w="4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No evidence of substantial proprietary compute investment or custom model training. Platform appears to rely on standard cloud ML infrastructure.</w:t>
            </w:r>
          </w:p>
        </w:tc>
      </w:tr>
      <w:tr>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Proprietary Hardware / Infrastructure (1 pt)</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0</w:t>
            </w:r>
          </w:p>
        </w:tc>
        <w:tc>
          <w:tcPr>
            <w:tcW w:type="dxa" w:w="4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Runs on Azure cloud. No specialized compute environment.</w:t>
            </w:r>
          </w:p>
        </w:tc>
      </w:tr>
      <w:tr>
        <w:tc>
          <w:tcPr>
            <w:tcW w:type="dxa" w:w="9360"/>
            <w:gridSpan w:val="3"/>
            <w:tcBorders>
              <w:top w:val="nil" w:color="FFFFFF" w:sz="0"/>
              <w:left w:val="nil" w:color="FFFFFF" w:sz="0"/>
              <w:bottom w:val="nil" w:color="FFFFFF" w:sz="0"/>
              <w:right w:val="nil" w:color="FFFFFF" w:sz="0"/>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Vertical / Workflow Moats (max 4 pts)</w:t>
            </w:r>
          </w:p>
        </w:tc>
      </w:tr>
      <w:tr>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Deep Workflow Integration (2 pts)</w:t>
            </w:r>
          </w:p>
        </w:tc>
        <w:tc>
          <w:tcPr>
            <w:tcW w:type="dxa" w:w="7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center"/>
            </w:pPr>
            <w:r>
              <w:rPr>
                <w:rFonts w:ascii="Arial" w:cs="Arial" w:eastAsia="Arial" w:hAnsi="Arial"/>
                <w:b/>
                <w:bCs/>
                <w:sz w:val="20"/>
                <w:szCs w:val="20"/>
              </w:rPr>
              <w:t xml:space="preserve">2</w:t>
            </w:r>
          </w:p>
        </w:tc>
        <w:tc>
          <w:tcPr>
            <w:tcW w:type="dxa" w:w="4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AFFIRM is embedded in daily IT operations via ServiceNow ITSM integration. CDW has built a branded product on AFFIRM, confirming deep integration — not just an API wrapper. Workflow integration depth is genuine.</w:t>
            </w:r>
          </w:p>
        </w:tc>
      </w:tr>
      <w:tr>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Regulatory / Compliance Layer (1 pt)</w:t>
            </w:r>
          </w:p>
        </w:tc>
        <w:tc>
          <w:tcPr>
            <w:tcW w:type="dxa" w:w="7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center"/>
            </w:pPr>
            <w:r>
              <w:rPr>
                <w:rFonts w:ascii="Arial" w:cs="Arial" w:eastAsia="Arial" w:hAnsi="Arial"/>
                <w:b/>
                <w:bCs/>
                <w:sz w:val="20"/>
                <w:szCs w:val="20"/>
              </w:rPr>
              <w:t xml:space="preserve">1</w:t>
            </w:r>
          </w:p>
        </w:tc>
        <w:tc>
          <w:tcPr>
            <w:tcW w:type="dxa" w:w="4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FedRAMP compliance (via Project Hosts inheritance) is a real barrier that competitors must also navigate. Compliance layer adds meaningful friction for new entrants.</w:t>
            </w:r>
          </w:p>
        </w:tc>
      </w:tr>
      <w:tr>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Multi-sided Network Effects (1 pt)</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0</w:t>
            </w:r>
          </w:p>
        </w:tc>
        <w:tc>
          <w:tcPr>
            <w:tcW w:type="dxa" w:w="4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Single-sided platform serving IT operations teams. No marketplace dynamic connecting multiple participant types.</w:t>
            </w:r>
          </w:p>
        </w:tc>
      </w:tr>
    </w:tbl>
    <w:p>
      <w:pPr>
        <w:spacing w:after="120" w:before="120"/>
      </w:pPr>
      <w:r>
        <w:rPr>
          <w:rFonts w:ascii="Arial" w:cs="Arial" w:eastAsia="Arial" w:hAnsi="Arial"/>
          <w:b/>
          <w:bCs/>
          <w:color w:val="000000"/>
          <w:sz w:val="20"/>
          <w:szCs w:val="20"/>
        </w:rPr>
        <w:t xml:space="preserve">AI Moat Score: 5/10 — MODERATE MOAT. Proceed with caution — monitor moat development, particularly training data accumulation and custom model depth.</w:t>
      </w:r>
    </w:p>
    <w:p>
      <w:pPr>
        <w:spacing w:after="0" w:before="0"/>
      </w:pPr>
      <w:r>
        <w:t xml:space="preserve"/>
      </w:r>
    </w:p>
    <w:p>
      <w:pPr>
        <w:spacing w:after="60" w:before="200"/>
      </w:pPr>
      <w:r>
        <w:rPr>
          <w:rFonts w:ascii="Arial" w:cs="Arial" w:eastAsia="Arial" w:hAnsi="Arial"/>
          <w:b/>
          <w:bCs/>
          <w:color w:val="1F3864"/>
          <w:sz w:val="22"/>
          <w:szCs w:val="22"/>
        </w:rPr>
        <w:t xml:space="preserve">Risk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Risk Category</w:t>
            </w:r>
          </w:p>
        </w:tc>
        <w:tc>
          <w:tcPr>
            <w:tcW w:type="dxa" w:w="1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Score (1–10)</w:t>
            </w:r>
          </w:p>
        </w:tc>
        <w:tc>
          <w:tcPr>
            <w:tcW w:type="dxa" w:w="55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Concern</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Execution Risk</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6 / 10</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Team has reasonable depth (CEO, COO, SVP Tech with 15 years experience, SVP Sales, SVP Delivery) but company is at very early revenue stage and key-person dependency on Brad Levine is a latent risk.</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Market Risk</w:t>
            </w:r>
          </w:p>
        </w:tc>
        <w:tc>
          <w:tcPr>
            <w:tcW w:type="dxa" w:w="16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center"/>
            </w:pPr>
            <w:r>
              <w:rPr>
                <w:rFonts w:ascii="Arial" w:cs="Arial" w:eastAsia="Arial" w:hAnsi="Arial"/>
                <w:b/>
                <w:bCs/>
                <w:sz w:val="20"/>
                <w:szCs w:val="20"/>
              </w:rPr>
              <w:t xml:space="preserve">5 / 10</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Strong timing tailwinds (AI adoption in IT ops, federal modernization mandate); CDW partnership significantly reduces adoption friction; long enterprise sales cycles remain a constraint.</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Financial Risk</w:t>
            </w:r>
          </w:p>
        </w:tc>
        <w:tc>
          <w:tcPr>
            <w:tcW w:type="dxa" w:w="16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jc w:val="center"/>
            </w:pPr>
            <w:r>
              <w:rPr>
                <w:rFonts w:ascii="Arial" w:cs="Arial" w:eastAsia="Arial" w:hAnsi="Arial"/>
                <w:b/>
                <w:bCs/>
                <w:sz w:val="20"/>
                <w:szCs w:val="20"/>
              </w:rPr>
              <w:t xml:space="preserve">7 / 10  ⚠️</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Revenue is very early ($24K Q1 actual); FY2026 budget target of $1.35M will require aggressive CDW-driven ramp; runway not disclosed; unit economics (CAC, LTV) not provided.</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Technical Risk</w:t>
            </w:r>
          </w:p>
        </w:tc>
        <w:tc>
          <w:tcPr>
            <w:tcW w:type="dxa" w:w="16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center"/>
            </w:pPr>
            <w:r>
              <w:rPr>
                <w:rFonts w:ascii="Arial" w:cs="Arial" w:eastAsia="Arial" w:hAnsi="Arial"/>
                <w:b/>
                <w:bCs/>
                <w:sz w:val="20"/>
                <w:szCs w:val="20"/>
              </w:rPr>
              <w:t xml:space="preserve">4 / 10</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Core technology validated by CDW deployment and 5 paying customers; Andrii Dimarov provides credible technical leadership (resolves prior 'no CTO' flag); FedRAMP compliance in place.</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Competitive Risk</w:t>
            </w:r>
          </w:p>
        </w:tc>
        <w:tc>
          <w:tcPr>
            <w:tcW w:type="dxa" w:w="16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jc w:val="center"/>
            </w:pPr>
            <w:r>
              <w:rPr>
                <w:rFonts w:ascii="Arial" w:cs="Arial" w:eastAsia="Arial" w:hAnsi="Arial"/>
                <w:b/>
                <w:bCs/>
                <w:sz w:val="20"/>
                <w:szCs w:val="20"/>
              </w:rPr>
              <w:t xml:space="preserve">7 / 10  ⚠️</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AIOps market is crowded with better-funded incumbents (ServiceNow, Dynatrace, Splunk/Cisco); AFFIRM's moat is moderate but not yet proven at scale against direct competitors.</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Overall Average</w:t>
            </w:r>
          </w:p>
        </w:tc>
        <w:tc>
          <w:tcPr>
            <w:tcW w:type="dxa" w:w="16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jc w:val="center"/>
            </w:pPr>
            <w:r>
              <w:rPr>
                <w:rFonts w:ascii="Arial" w:cs="Arial" w:eastAsia="Arial" w:hAnsi="Arial"/>
                <w:b/>
                <w:bCs/>
                <w:sz w:val="20"/>
                <w:szCs w:val="20"/>
              </w:rPr>
              <w:t xml:space="preserve">5.8 / 10</w:t>
            </w:r>
          </w:p>
        </w:tc>
        <w:tc>
          <w:tcPr>
            <w:tcW w:type="dxa" w:w="55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sz w:val="20"/>
                <w:szCs w:val="20"/>
              </w:rPr>
              <w:t xml:space="preserve">Moderate risk. Critical risks: Financial (7) + Competitive (7). No single score at 10. No deal-breaker triggered by rubric threshold. Financial risk must be documented explicitly for IC.</w:t>
            </w:r>
          </w:p>
        </w:tc>
      </w:tr>
    </w:tbl>
    <w:p>
      <w:pPr>
        <w:spacing w:after="0" w:before="0"/>
      </w:pPr>
      <w:r>
        <w:t xml:space="preserve"/>
      </w:r>
    </w:p>
    <w:p>
      <w:pPr>
        <w:spacing w:after="60" w:before="200"/>
      </w:pPr>
      <w:r>
        <w:rPr>
          <w:rFonts w:ascii="Arial" w:cs="Arial" w:eastAsia="Arial" w:hAnsi="Arial"/>
          <w:b/>
          <w:bCs/>
          <w:color w:val="1F3864"/>
          <w:sz w:val="22"/>
          <w:szCs w:val="22"/>
        </w:rPr>
        <w:t xml:space="preserve">Market Size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TAM (Gartner 2026)</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$492M AIOps market; growing to $1B+ by 2030 at ~20%+ CAGR — HIGH GROWTH. Market growth scoring: &gt; 15% CAGR → Favorable timing.</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Bottoms-up SAM</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~5,000 US federal agencies and large enterprise IT departments × $200K average annual AIOps spend = ~$1B SAM. Consistent with founder TAM — NOT inflated.</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Consistency Check</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Founder TAM is consistent with independent bottoms-up estimate. No inflation flag triggered.</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Timing Score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5 / 5 — All five triggers present: AI adoption wave (✓), federal IT modernization mandates (✓), FedRAMP compliance opening (✓), ServiceNow ecosystem maturity as distribution layer (✓), cost reduction pressure on IT ops teams (✓). STRONG timing thesis.</w:t>
            </w:r>
          </w:p>
        </w:tc>
      </w:tr>
    </w:tbl>
    <w:p>
      <w:pPr>
        <w:spacing w:after="0" w:before="0"/>
      </w:pPr>
      <w:r>
        <w:t xml:space="preserve"/>
      </w:r>
    </w:p>
    <w:p>
      <w:pPr>
        <w:spacing w:after="60" w:before="200"/>
      </w:pPr>
      <w:r>
        <w:rPr>
          <w:rFonts w:ascii="Arial" w:cs="Arial" w:eastAsia="Arial" w:hAnsi="Arial"/>
          <w:b/>
          <w:bCs/>
          <w:color w:val="1F3864"/>
          <w:sz w:val="22"/>
          <w:szCs w:val="22"/>
        </w:rPr>
        <w:t xml:space="preserve">Financial Model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Q1 2026 Actual Revenue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$24,375 — 5 customers at $4,875 avg. (Pitch deck figure — conflicts with budget xlsx Q1 of $1,530; must be reconciled.)</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FY2026 Budget Revenue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$1,350,690 — requires aggressive CDW-driven ramp from Q1 base.</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Steady-State ARR (model)</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~$9.1M per company financial model.</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CIBC Credit Facility</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Line of credit secured against ARR — positive signal of institutional validation; terms not disclosed.</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Runway</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Not disclosed. Must be obtained before advancing.</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Bear Case (20–40% YoY)</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Yr1 $540K → Yr3 $1.1M → Yr5 $2.2M. Exit at 10x revenue ~$22M — insufficient for 10x return on Series A entry.</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Base Case (50–100% YoY)</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Yr1 $1.35M → Yr3 $4.5M → Yr5 $10M. Exit at 10x revenue ~$100M — marginal at Series A valuation of $20–30M pre-money.</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Bull Case (100–200% YoY)</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Yr1 $2M → Yr3 $12M → Yr5 $40M+. Exit at 10x revenue ~$400M+ — supports 10x return if CDW pipeline converts at scale.</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10x Return Check</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Base case is marginal. Bull case is required for NWAi 10x target. Investment thesis depends on CDW-driven ARR acceleration reaching $40M+ by Year 5.</w:t>
            </w:r>
          </w:p>
        </w:tc>
      </w:tr>
    </w:tbl>
    <w:p>
      <w:pPr>
        <w:spacing w:after="0" w:before="0"/>
      </w:pPr>
      <w:r>
        <w:t xml:space="preserve"/>
      </w:r>
    </w:p>
    <w:p>
      <w:r>
        <w:br w:type="page"/>
      </w:r>
    </w:p>
    <w:p>
      <w:pPr>
        <w:pBdr>
          <w:bottom w:val="single" w:color="1F3864" w:sz="6" w:space="4"/>
        </w:pBdr>
        <w:spacing w:after="100" w:before="280"/>
      </w:pPr>
      <w:r>
        <w:rPr>
          <w:rFonts w:ascii="Arial" w:cs="Arial" w:eastAsia="Arial" w:hAnsi="Arial"/>
          <w:b/>
          <w:bCs/>
          <w:color w:val="1F3864"/>
          <w:sz w:val="26"/>
          <w:szCs w:val="26"/>
        </w:rPr>
        <w:t xml:space="preserve">Part C — 17-Folder DD Assignment Table</w:t>
      </w:r>
    </w:p>
    <w:p>
      <w:pPr>
        <w:spacing w:after="0" w:before="0"/>
      </w:pPr>
      <w:r>
        <w:t xml:space="preserve"/>
      </w:r>
    </w:p>
    <w:p>
      <w:pPr>
        <w:spacing w:after="120" w:before="80"/>
      </w:pPr>
      <w:r>
        <w:rPr>
          <w:rFonts w:ascii="Arial" w:cs="Arial" w:eastAsia="Arial" w:hAnsi="Arial"/>
          <w:b w:val="false"/>
          <w:bCs w:val="false"/>
          <w:color w:val="000000"/>
          <w:sz w:val="20"/>
          <w:szCs w:val="20"/>
        </w:rPr>
        <w:t xml:space="preserve">Folders marked URGENT require immediate attention or contain gate-critical gaps that could affect the advance/pass decision. All folders are open for team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5000"/>
        <w:gridCol w:w="1360"/>
      </w:tblGrid>
      <w:tr>
        <w:tc>
          <w:tcPr>
            <w:tcW w:type="dxa" w:w="600"/>
            <w:tcBorders>
              <w:top w:val="single" w:color="CCCCCC" w:sz="4"/>
              <w:left w:val="single" w:color="CCCCCC" w:sz="4"/>
              <w:bottom w:val="single" w:color="CCCCCC" w:sz="4"/>
              <w:right w:val="single" w:color="CCCCCC" w:sz="4"/>
            </w:tcBorders>
            <w:shd w:fill="1F3864" w:val="clear"/>
            <w:tcMar>
              <w:top w:type="dxa" w:w="80"/>
              <w:left w:type="dxa" w:w="80"/>
              <w:bottom w:type="dxa" w:w="80"/>
              <w:right w:type="dxa" w:w="80"/>
            </w:tcMar>
          </w:tcPr>
          <w:p>
            <w:pPr>
              <w:jc w:val="center"/>
            </w:pPr>
            <w:r>
              <w:rPr>
                <w:rFonts w:ascii="Arial" w:cs="Arial" w:eastAsia="Arial" w:hAnsi="Arial"/>
                <w:b/>
                <w:bCs/>
                <w:color w:val="FFFFFF"/>
                <w:sz w:val="18"/>
                <w:szCs w:val="18"/>
              </w:rPr>
              <w:t xml:space="preserve">#</w:t>
            </w:r>
          </w:p>
        </w:tc>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Folder</w:t>
            </w:r>
          </w:p>
        </w:tc>
        <w:tc>
          <w:tcPr>
            <w:tcW w:type="dxa" w:w="5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Pre-populated Findings &amp; Gaps</w:t>
            </w:r>
          </w:p>
        </w:tc>
        <w:tc>
          <w:tcPr>
            <w:tcW w:type="dxa" w:w="1360"/>
            <w:tcBorders>
              <w:top w:val="single" w:color="CCCCCC" w:sz="4"/>
              <w:left w:val="single" w:color="CCCCCC" w:sz="4"/>
              <w:bottom w:val="single" w:color="CCCCCC" w:sz="4"/>
              <w:right w:val="single" w:color="CCCCCC" w:sz="4"/>
            </w:tcBorders>
            <w:shd w:fill="1F3864" w:val="clear"/>
            <w:tcMar>
              <w:top w:type="dxa" w:w="80"/>
              <w:left w:type="dxa" w:w="80"/>
              <w:bottom w:type="dxa" w:w="80"/>
              <w:right w:type="dxa" w:w="80"/>
            </w:tcMar>
          </w:tcPr>
          <w:p>
            <w:pPr>
              <w:jc w:val="center"/>
            </w:pPr>
            <w:r>
              <w:rPr>
                <w:rFonts w:ascii="Arial" w:cs="Arial" w:eastAsia="Arial" w:hAnsi="Arial"/>
                <w:b/>
                <w:bCs/>
                <w:color w:val="FFFFFF"/>
                <w:sz w:val="18"/>
                <w:szCs w:val="18"/>
              </w:rPr>
              <w:t xml:space="preserve">Assignee</w:t>
            </w:r>
          </w:p>
        </w:tc>
      </w:tr>
      <w:tr>
        <w:tc>
          <w:tcPr>
            <w:tcW w:type="dxa" w:w="600"/>
            <w:tcBorders>
              <w:top w:val="single" w:color="CCCCCC" w:sz="4"/>
              <w:left w:val="single" w:color="CCCCCC" w:sz="4"/>
              <w:bottom w:val="single" w:color="CCCCCC" w:sz="4"/>
              <w:right w:val="single" w:color="CCCCCC" w:sz="4"/>
            </w:tcBorders>
            <w:shd w:fill="FCE4D6" w:val="clear"/>
            <w:tcMar>
              <w:top w:type="dxa" w:w="80"/>
              <w:left w:type="dxa" w:w="80"/>
              <w:bottom w:type="dxa" w:w="80"/>
              <w:right w:type="dxa" w:w="80"/>
            </w:tcMar>
          </w:tcPr>
          <w:p>
            <w:pPr>
              <w:jc w:val="center"/>
            </w:pPr>
            <w:r>
              <w:rPr>
                <w:rFonts w:ascii="Arial" w:cs="Arial" w:eastAsia="Arial" w:hAnsi="Arial"/>
                <w:b/>
                <w:bCs/>
                <w:color w:val="C00000"/>
                <w:sz w:val="18"/>
                <w:szCs w:val="18"/>
              </w:rPr>
              <w:t xml:space="preserve">1 ⚠️</w:t>
            </w:r>
          </w:p>
        </w:tc>
        <w:tc>
          <w:tcPr>
            <w:tcW w:type="dxa" w:w="24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b/>
                <w:bCs/>
                <w:color w:val="C00000"/>
                <w:sz w:val="18"/>
                <w:szCs w:val="18"/>
              </w:rPr>
              <w:t xml:space="preserve">Cap Table &amp; Term Sheet — URGENT</w:t>
            </w:r>
          </w:p>
        </w:tc>
        <w:tc>
          <w:tcPr>
            <w:tcW w:type="dxa" w:w="5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Cap table Excel provided (synergist-technology-llc). LLC entity structure — C-Corp conversion required before NWAi can invest. Brad Levine and Dennis Boyle are primary founders. SAFE or convertible note status not confirmed. Option pool adequacy unverified. Outside director: Ron Nicol.</w:t>
            </w:r>
          </w:p>
        </w:tc>
        <w:tc>
          <w:tcPr>
            <w:tcW w:type="dxa" w:w="1360"/>
            <w:tcBorders>
              <w:top w:val="single" w:color="CCCCCC" w:sz="4"/>
              <w:left w:val="single" w:color="CCCCCC" w:sz="4"/>
              <w:bottom w:val="single" w:color="CCCCCC" w:sz="4"/>
              <w:right w:val="single" w:color="CCCCCC" w:sz="4"/>
            </w:tcBorders>
            <w:shd w:fill="F2F2F2" w:val="clear"/>
            <w:tcMar>
              <w:top w:type="dxa" w:w="80"/>
              <w:left w:type="dxa" w:w="80"/>
              <w:bottom w:type="dxa" w:w="80"/>
              <w:right w:type="dxa" w:w="80"/>
            </w:tcMar>
          </w:tcPr>
          <w:p>
            <w:r>
              <w:rPr>
                <w:rFonts w:ascii="Arial" w:cs="Arial" w:eastAsia="Arial" w:hAnsi="Arial"/>
                <w:color w:val="888888"/>
                <w:sz w:val="18"/>
                <w:szCs w:val="18"/>
              </w:rPr>
              <w:t xml:space="preserve">TBD</w:t>
            </w:r>
          </w:p>
        </w:tc>
      </w:tr>
      <w:tr>
        <w:tc>
          <w:tcPr>
            <w:tcW w:type="dxa" w:w="600"/>
            <w:tcBorders>
              <w:top w:val="single" w:color="CCCCCC" w:sz="4"/>
              <w:left w:val="single" w:color="CCCCCC" w:sz="4"/>
              <w:bottom w:val="single" w:color="CCCCCC" w:sz="4"/>
              <w:right w:val="single" w:color="CCCCCC" w:sz="4"/>
            </w:tcBorders>
            <w:shd w:fill="FCE4D6" w:val="clear"/>
            <w:tcMar>
              <w:top w:type="dxa" w:w="80"/>
              <w:left w:type="dxa" w:w="80"/>
              <w:bottom w:type="dxa" w:w="80"/>
              <w:right w:type="dxa" w:w="80"/>
            </w:tcMar>
          </w:tcPr>
          <w:p>
            <w:pPr>
              <w:jc w:val="center"/>
            </w:pPr>
            <w:r>
              <w:rPr>
                <w:rFonts w:ascii="Arial" w:cs="Arial" w:eastAsia="Arial" w:hAnsi="Arial"/>
                <w:b/>
                <w:bCs/>
                <w:color w:val="C00000"/>
                <w:sz w:val="18"/>
                <w:szCs w:val="18"/>
              </w:rPr>
              <w:t xml:space="preserve">2 ⚠️</w:t>
            </w:r>
          </w:p>
        </w:tc>
        <w:tc>
          <w:tcPr>
            <w:tcW w:type="dxa" w:w="24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b/>
                <w:bCs/>
                <w:color w:val="C00000"/>
                <w:sz w:val="18"/>
                <w:szCs w:val="18"/>
              </w:rPr>
              <w:t xml:space="preserve">Financial Model &amp; NWA Assessment — URGENT</w:t>
            </w:r>
          </w:p>
        </w:tc>
        <w:tc>
          <w:tcPr>
            <w:tcW w:type="dxa" w:w="5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2026 Budget P&amp;L (xlsx) provided. FY2026 budget $1,350,690 total revenue; Q1 budget shows $1,530 which conflicts with pitch deck Q1 actual of $24,375 (5 customers). CIBC line of credit secured against ARR. Steady-state ARR modeled at ~$9.1M. NWAi Bear/Base/Bull model needs to be constructed independently. NWAi base case 10x return is marginal — bull case required.</w:t>
            </w:r>
          </w:p>
        </w:tc>
        <w:tc>
          <w:tcPr>
            <w:tcW w:type="dxa" w:w="1360"/>
            <w:tcBorders>
              <w:top w:val="single" w:color="CCCCCC" w:sz="4"/>
              <w:left w:val="single" w:color="CCCCCC" w:sz="4"/>
              <w:bottom w:val="single" w:color="CCCCCC" w:sz="4"/>
              <w:right w:val="single" w:color="CCCCCC" w:sz="4"/>
            </w:tcBorders>
            <w:shd w:fill="F2F2F2" w:val="clear"/>
            <w:tcMar>
              <w:top w:type="dxa" w:w="80"/>
              <w:left w:type="dxa" w:w="80"/>
              <w:bottom w:type="dxa" w:w="80"/>
              <w:right w:type="dxa" w:w="80"/>
            </w:tcMar>
          </w:tcPr>
          <w:p>
            <w:r>
              <w:rPr>
                <w:rFonts w:ascii="Arial" w:cs="Arial" w:eastAsia="Arial" w:hAnsi="Arial"/>
                <w:color w:val="888888"/>
                <w:sz w:val="18"/>
                <w:szCs w:val="18"/>
              </w:rPr>
              <w:t xml:space="preserve">TBD</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80"/>
              <w:bottom w:type="dxa" w:w="80"/>
              <w:right w:type="dxa" w:w="80"/>
            </w:tcMar>
          </w:tcPr>
          <w:p>
            <w:pPr>
              <w:jc w:val="center"/>
            </w:pPr>
            <w:r>
              <w:rPr>
                <w:rFonts w:ascii="Arial" w:cs="Arial" w:eastAsia="Arial" w:hAnsi="Arial"/>
                <w:b/>
                <w:bCs/>
                <w:color w:val="000000"/>
                <w:sz w:val="18"/>
                <w:szCs w:val="18"/>
              </w:rPr>
              <w:t xml:space="preserve">3</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Pitch Deck(s) &amp; Business Plan</w:t>
            </w:r>
          </w:p>
        </w:tc>
        <w:tc>
          <w:tcPr>
            <w:tcW w:type="dxa" w:w="5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Investor deck (02/22/2026, 16 pages) provided. Live pitch transcript (03/2026) provided. No separate full business plan in data room. One-pager not provided.</w:t>
            </w:r>
          </w:p>
        </w:tc>
        <w:tc>
          <w:tcPr>
            <w:tcW w:type="dxa" w:w="1360"/>
            <w:tcBorders>
              <w:top w:val="single" w:color="CCCCCC" w:sz="4"/>
              <w:left w:val="single" w:color="CCCCCC" w:sz="4"/>
              <w:bottom w:val="single" w:color="CCCCCC" w:sz="4"/>
              <w:right w:val="single" w:color="CCCCCC" w:sz="4"/>
            </w:tcBorders>
            <w:shd w:fill="F2F2F2" w:val="clear"/>
            <w:tcMar>
              <w:top w:type="dxa" w:w="80"/>
              <w:left w:type="dxa" w:w="80"/>
              <w:bottom w:type="dxa" w:w="80"/>
              <w:right w:type="dxa" w:w="80"/>
            </w:tcMar>
          </w:tcPr>
          <w:p>
            <w:r>
              <w:rPr>
                <w:rFonts w:ascii="Arial" w:cs="Arial" w:eastAsia="Arial" w:hAnsi="Arial"/>
                <w:color w:val="888888"/>
                <w:sz w:val="18"/>
                <w:szCs w:val="18"/>
              </w:rPr>
              <w:t xml:space="preserve">TBD</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80"/>
              <w:bottom w:type="dxa" w:w="80"/>
              <w:right w:type="dxa" w:w="80"/>
            </w:tcMar>
          </w:tcPr>
          <w:p>
            <w:pPr>
              <w:jc w:val="center"/>
            </w:pPr>
            <w:r>
              <w:rPr>
                <w:rFonts w:ascii="Arial" w:cs="Arial" w:eastAsia="Arial" w:hAnsi="Arial"/>
                <w:b/>
                <w:bCs/>
                <w:color w:val="000000"/>
                <w:sz w:val="18"/>
                <w:szCs w:val="18"/>
              </w:rPr>
              <w:t xml:space="preserve">4</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Competition</w:t>
            </w:r>
          </w:p>
        </w:tc>
        <w:tc>
          <w:tcPr>
            <w:tcW w:type="dxa" w:w="5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Synergist Competitor Matrix v1 provided. Key competitors identified: ServiceNow (AIOps), Dynatrace, Splunk/Cisco, PagerDuty, Moogsoft, BigPanda, OpsRamp (HPE). Company takes a static rather than dynamic view of competitive landscape. CDW differentiation via branded 'CDW AI Model Managed Services' is a near-term advantage. Moat score 5/10 AI — moderate but not strong.</w:t>
            </w:r>
          </w:p>
        </w:tc>
        <w:tc>
          <w:tcPr>
            <w:tcW w:type="dxa" w:w="1360"/>
            <w:tcBorders>
              <w:top w:val="single" w:color="CCCCCC" w:sz="4"/>
              <w:left w:val="single" w:color="CCCCCC" w:sz="4"/>
              <w:bottom w:val="single" w:color="CCCCCC" w:sz="4"/>
              <w:right w:val="single" w:color="CCCCCC" w:sz="4"/>
            </w:tcBorders>
            <w:shd w:fill="F2F2F2" w:val="clear"/>
            <w:tcMar>
              <w:top w:type="dxa" w:w="80"/>
              <w:left w:type="dxa" w:w="80"/>
              <w:bottom w:type="dxa" w:w="80"/>
              <w:right w:type="dxa" w:w="80"/>
            </w:tcMar>
          </w:tcPr>
          <w:p>
            <w:r>
              <w:rPr>
                <w:rFonts w:ascii="Arial" w:cs="Arial" w:eastAsia="Arial" w:hAnsi="Arial"/>
                <w:color w:val="888888"/>
                <w:sz w:val="18"/>
                <w:szCs w:val="18"/>
              </w:rPr>
              <w:t xml:space="preserve">TBD</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80"/>
              <w:bottom w:type="dxa" w:w="80"/>
              <w:right w:type="dxa" w:w="80"/>
            </w:tcMar>
          </w:tcPr>
          <w:p>
            <w:pPr>
              <w:jc w:val="center"/>
            </w:pPr>
            <w:r>
              <w:rPr>
                <w:rFonts w:ascii="Arial" w:cs="Arial" w:eastAsia="Arial" w:hAnsi="Arial"/>
                <w:b/>
                <w:bCs/>
                <w:color w:val="000000"/>
                <w:sz w:val="18"/>
                <w:szCs w:val="18"/>
              </w:rPr>
              <w:t xml:space="preserve">5</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Customer Problem Being Solved</w:t>
            </w:r>
          </w:p>
        </w:tc>
        <w:tc>
          <w:tcPr>
            <w:tcW w:type="dxa" w:w="5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Federal and enterprise IT operations teams managing multi-cloud/hybrid environments. AFFIRM provides AIOps monitoring, incident resolution, and anomaly detection. Problem is genuine must-have in large enterprises. CDW acts as reseller — simplifies federal procurement. Current average contract value $4,875 is below stated $7,500 floor. Decision-maker mapping (CISO + CIO + IT Director) not fully documented.</w:t>
            </w:r>
          </w:p>
        </w:tc>
        <w:tc>
          <w:tcPr>
            <w:tcW w:type="dxa" w:w="1360"/>
            <w:tcBorders>
              <w:top w:val="single" w:color="CCCCCC" w:sz="4"/>
              <w:left w:val="single" w:color="CCCCCC" w:sz="4"/>
              <w:bottom w:val="single" w:color="CCCCCC" w:sz="4"/>
              <w:right w:val="single" w:color="CCCCCC" w:sz="4"/>
            </w:tcBorders>
            <w:shd w:fill="F2F2F2" w:val="clear"/>
            <w:tcMar>
              <w:top w:type="dxa" w:w="80"/>
              <w:left w:type="dxa" w:w="80"/>
              <w:bottom w:type="dxa" w:w="80"/>
              <w:right w:type="dxa" w:w="80"/>
            </w:tcMar>
          </w:tcPr>
          <w:p>
            <w:r>
              <w:rPr>
                <w:rFonts w:ascii="Arial" w:cs="Arial" w:eastAsia="Arial" w:hAnsi="Arial"/>
                <w:color w:val="888888"/>
                <w:sz w:val="18"/>
                <w:szCs w:val="18"/>
              </w:rPr>
              <w:t xml:space="preserve">TBD</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80"/>
              <w:bottom w:type="dxa" w:w="80"/>
              <w:right w:type="dxa" w:w="80"/>
            </w:tcMar>
          </w:tcPr>
          <w:p>
            <w:pPr>
              <w:jc w:val="center"/>
            </w:pPr>
            <w:r>
              <w:rPr>
                <w:rFonts w:ascii="Arial" w:cs="Arial" w:eastAsia="Arial" w:hAnsi="Arial"/>
                <w:b/>
                <w:bCs/>
                <w:color w:val="000000"/>
                <w:sz w:val="18"/>
                <w:szCs w:val="18"/>
              </w:rPr>
              <w:t xml:space="preserve">6</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DD Team Communications</w:t>
            </w:r>
          </w:p>
        </w:tc>
        <w:tc>
          <w:tcPr>
            <w:tcW w:type="dxa" w:w="5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Assigned to DD Lead.</w:t>
            </w:r>
          </w:p>
        </w:tc>
        <w:tc>
          <w:tcPr>
            <w:tcW w:type="dxa" w:w="1360"/>
            <w:tcBorders>
              <w:top w:val="single" w:color="CCCCCC" w:sz="4"/>
              <w:left w:val="single" w:color="CCCCCC" w:sz="4"/>
              <w:bottom w:val="single" w:color="CCCCCC" w:sz="4"/>
              <w:right w:val="single" w:color="CCCCCC" w:sz="4"/>
            </w:tcBorders>
            <w:shd w:fill="F2F2F2" w:val="clear"/>
            <w:tcMar>
              <w:top w:type="dxa" w:w="80"/>
              <w:left w:type="dxa" w:w="80"/>
              <w:bottom w:type="dxa" w:w="80"/>
              <w:right w:type="dxa" w:w="80"/>
            </w:tcMar>
          </w:tcPr>
          <w:p>
            <w:r>
              <w:rPr>
                <w:rFonts w:ascii="Arial" w:cs="Arial" w:eastAsia="Arial" w:hAnsi="Arial"/>
                <w:color w:val="888888"/>
                <w:sz w:val="18"/>
                <w:szCs w:val="18"/>
              </w:rPr>
              <w:t xml:space="preserve">TBD</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80"/>
              <w:bottom w:type="dxa" w:w="80"/>
              <w:right w:type="dxa" w:w="80"/>
            </w:tcMar>
          </w:tcPr>
          <w:p>
            <w:pPr>
              <w:jc w:val="center"/>
            </w:pPr>
            <w:r>
              <w:rPr>
                <w:rFonts w:ascii="Arial" w:cs="Arial" w:eastAsia="Arial" w:hAnsi="Arial"/>
                <w:b/>
                <w:bCs/>
                <w:color w:val="000000"/>
                <w:sz w:val="18"/>
                <w:szCs w:val="18"/>
              </w:rPr>
              <w:t xml:space="preserve">7</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Executive Summary</w:t>
            </w:r>
          </w:p>
        </w:tc>
        <w:tc>
          <w:tcPr>
            <w:tcW w:type="dxa" w:w="5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Assigned to DD Lead. This DD Kickoff Package serves as the preliminary summary.</w:t>
            </w:r>
          </w:p>
        </w:tc>
        <w:tc>
          <w:tcPr>
            <w:tcW w:type="dxa" w:w="1360"/>
            <w:tcBorders>
              <w:top w:val="single" w:color="CCCCCC" w:sz="4"/>
              <w:left w:val="single" w:color="CCCCCC" w:sz="4"/>
              <w:bottom w:val="single" w:color="CCCCCC" w:sz="4"/>
              <w:right w:val="single" w:color="CCCCCC" w:sz="4"/>
            </w:tcBorders>
            <w:shd w:fill="F2F2F2" w:val="clear"/>
            <w:tcMar>
              <w:top w:type="dxa" w:w="80"/>
              <w:left w:type="dxa" w:w="80"/>
              <w:bottom w:type="dxa" w:w="80"/>
              <w:right w:type="dxa" w:w="80"/>
            </w:tcMar>
          </w:tcPr>
          <w:p>
            <w:r>
              <w:rPr>
                <w:rFonts w:ascii="Arial" w:cs="Arial" w:eastAsia="Arial" w:hAnsi="Arial"/>
                <w:color w:val="888888"/>
                <w:sz w:val="18"/>
                <w:szCs w:val="18"/>
              </w:rPr>
              <w:t xml:space="preserve">TBD</w:t>
            </w:r>
          </w:p>
        </w:tc>
      </w:tr>
      <w:tr>
        <w:tc>
          <w:tcPr>
            <w:tcW w:type="dxa" w:w="600"/>
            <w:tcBorders>
              <w:top w:val="single" w:color="CCCCCC" w:sz="4"/>
              <w:left w:val="single" w:color="CCCCCC" w:sz="4"/>
              <w:bottom w:val="single" w:color="CCCCCC" w:sz="4"/>
              <w:right w:val="single" w:color="CCCCCC" w:sz="4"/>
            </w:tcBorders>
            <w:shd w:fill="FCE4D6" w:val="clear"/>
            <w:tcMar>
              <w:top w:type="dxa" w:w="80"/>
              <w:left w:type="dxa" w:w="80"/>
              <w:bottom w:type="dxa" w:w="80"/>
              <w:right w:type="dxa" w:w="80"/>
            </w:tcMar>
          </w:tcPr>
          <w:p>
            <w:pPr>
              <w:jc w:val="center"/>
            </w:pPr>
            <w:r>
              <w:rPr>
                <w:rFonts w:ascii="Arial" w:cs="Arial" w:eastAsia="Arial" w:hAnsi="Arial"/>
                <w:b/>
                <w:bCs/>
                <w:color w:val="C00000"/>
                <w:sz w:val="18"/>
                <w:szCs w:val="18"/>
              </w:rPr>
              <w:t xml:space="preserve">8 ⚠️</w:t>
            </w:r>
          </w:p>
        </w:tc>
        <w:tc>
          <w:tcPr>
            <w:tcW w:type="dxa" w:w="24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b/>
                <w:bCs/>
                <w:color w:val="C00000"/>
                <w:sz w:val="18"/>
                <w:szCs w:val="18"/>
              </w:rPr>
              <w:t xml:space="preserve">Exit Assessment &amp; Risks — URGENT</w:t>
            </w:r>
          </w:p>
        </w:tc>
        <w:tc>
          <w:tcPr>
            <w:tcW w:type="dxa" w:w="5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Capital Strategy doc provided. Primary exit thesis: PE roll-up. Series A $10–15M planned late 2026/early 2027. Logical acquirers: ServiceNow, Cisco/Splunk, Dynatrace, CDW (to own IP). Management incentive alignment unclear — no option pool details. 10x return on Series A entry requires bull-case growth (CDW-driven ARR ramp to $40M+). Base case exit (~$80–100M at 10x revenue) likely marginal at Series A valuation.</w:t>
            </w:r>
          </w:p>
        </w:tc>
        <w:tc>
          <w:tcPr>
            <w:tcW w:type="dxa" w:w="1360"/>
            <w:tcBorders>
              <w:top w:val="single" w:color="CCCCCC" w:sz="4"/>
              <w:left w:val="single" w:color="CCCCCC" w:sz="4"/>
              <w:bottom w:val="single" w:color="CCCCCC" w:sz="4"/>
              <w:right w:val="single" w:color="CCCCCC" w:sz="4"/>
            </w:tcBorders>
            <w:shd w:fill="F2F2F2" w:val="clear"/>
            <w:tcMar>
              <w:top w:type="dxa" w:w="80"/>
              <w:left w:type="dxa" w:w="80"/>
              <w:bottom w:type="dxa" w:w="80"/>
              <w:right w:type="dxa" w:w="80"/>
            </w:tcMar>
          </w:tcPr>
          <w:p>
            <w:r>
              <w:rPr>
                <w:rFonts w:ascii="Arial" w:cs="Arial" w:eastAsia="Arial" w:hAnsi="Arial"/>
                <w:color w:val="888888"/>
                <w:sz w:val="18"/>
                <w:szCs w:val="18"/>
              </w:rPr>
              <w:t xml:space="preserve">TBD</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80"/>
              <w:bottom w:type="dxa" w:w="80"/>
              <w:right w:type="dxa" w:w="80"/>
            </w:tcMar>
          </w:tcPr>
          <w:p>
            <w:pPr>
              <w:jc w:val="center"/>
            </w:pPr>
            <w:r>
              <w:rPr>
                <w:rFonts w:ascii="Arial" w:cs="Arial" w:eastAsia="Arial" w:hAnsi="Arial"/>
                <w:b/>
                <w:bCs/>
                <w:color w:val="000000"/>
                <w:sz w:val="18"/>
                <w:szCs w:val="18"/>
              </w:rPr>
              <w:t xml:space="preserve">9</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Go-to-Market Plan</w:t>
            </w:r>
          </w:p>
        </w:tc>
        <w:tc>
          <w:tcPr>
            <w:tcW w:type="dxa" w:w="5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CDW partnership is primary channel — CDW has built a branded 'CDW AI Model Managed Services' product powered by AFFIRM with ServiceNow ITSM integration. FedRAMP compliance (inherited) opens federal market. No CAC or LTV data provided. CDW contract structure (revenue share vs. licensing) not confirmed. Channel dependency on CDW is a concentration risk.</w:t>
            </w:r>
          </w:p>
        </w:tc>
        <w:tc>
          <w:tcPr>
            <w:tcW w:type="dxa" w:w="1360"/>
            <w:tcBorders>
              <w:top w:val="single" w:color="CCCCCC" w:sz="4"/>
              <w:left w:val="single" w:color="CCCCCC" w:sz="4"/>
              <w:bottom w:val="single" w:color="CCCCCC" w:sz="4"/>
              <w:right w:val="single" w:color="CCCCCC" w:sz="4"/>
            </w:tcBorders>
            <w:shd w:fill="F2F2F2" w:val="clear"/>
            <w:tcMar>
              <w:top w:type="dxa" w:w="80"/>
              <w:left w:type="dxa" w:w="80"/>
              <w:bottom w:type="dxa" w:w="80"/>
              <w:right w:type="dxa" w:w="80"/>
            </w:tcMar>
          </w:tcPr>
          <w:p>
            <w:r>
              <w:rPr>
                <w:rFonts w:ascii="Arial" w:cs="Arial" w:eastAsia="Arial" w:hAnsi="Arial"/>
                <w:color w:val="888888"/>
                <w:sz w:val="18"/>
                <w:szCs w:val="18"/>
              </w:rPr>
              <w:t xml:space="preserve">TBD</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80"/>
              <w:bottom w:type="dxa" w:w="80"/>
              <w:right w:type="dxa" w:w="80"/>
            </w:tcMar>
          </w:tcPr>
          <w:p>
            <w:pPr>
              <w:jc w:val="center"/>
            </w:pPr>
            <w:r>
              <w:rPr>
                <w:rFonts w:ascii="Arial" w:cs="Arial" w:eastAsia="Arial" w:hAnsi="Arial"/>
                <w:b/>
                <w:bCs/>
                <w:color w:val="000000"/>
                <w:sz w:val="18"/>
                <w:szCs w:val="18"/>
              </w:rPr>
              <w:t xml:space="preserve">10</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Intellectual Property</w:t>
            </w:r>
          </w:p>
        </w:tc>
        <w:tc>
          <w:tcPr>
            <w:tcW w:type="dxa" w:w="5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No patents identified or filed per data room review. Trade secrets presumed: telemetry models, workflow algorithms, AFFIRM core engine. IP ownership needs formal confirmation — all IP must be assigned to LLC (then to C-Corp on conversion). No university IP claims identified. FedRAMP-related compliance procedures could constitute operational IP.</w:t>
            </w:r>
          </w:p>
        </w:tc>
        <w:tc>
          <w:tcPr>
            <w:tcW w:type="dxa" w:w="1360"/>
            <w:tcBorders>
              <w:top w:val="single" w:color="CCCCCC" w:sz="4"/>
              <w:left w:val="single" w:color="CCCCCC" w:sz="4"/>
              <w:bottom w:val="single" w:color="CCCCCC" w:sz="4"/>
              <w:right w:val="single" w:color="CCCCCC" w:sz="4"/>
            </w:tcBorders>
            <w:shd w:fill="F2F2F2" w:val="clear"/>
            <w:tcMar>
              <w:top w:type="dxa" w:w="80"/>
              <w:left w:type="dxa" w:w="80"/>
              <w:bottom w:type="dxa" w:w="80"/>
              <w:right w:type="dxa" w:w="80"/>
            </w:tcMar>
          </w:tcPr>
          <w:p>
            <w:r>
              <w:rPr>
                <w:rFonts w:ascii="Arial" w:cs="Arial" w:eastAsia="Arial" w:hAnsi="Arial"/>
                <w:color w:val="888888"/>
                <w:sz w:val="18"/>
                <w:szCs w:val="18"/>
              </w:rPr>
              <w:t xml:space="preserve">TBD</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80"/>
              <w:bottom w:type="dxa" w:w="80"/>
              <w:right w:type="dxa" w:w="80"/>
            </w:tcMar>
          </w:tcPr>
          <w:p>
            <w:pPr>
              <w:jc w:val="center"/>
            </w:pPr>
            <w:r>
              <w:rPr>
                <w:rFonts w:ascii="Arial" w:cs="Arial" w:eastAsia="Arial" w:hAnsi="Arial"/>
                <w:b/>
                <w:bCs/>
                <w:color w:val="000000"/>
                <w:sz w:val="18"/>
                <w:szCs w:val="18"/>
              </w:rPr>
              <w:t xml:space="preserve">11</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Timeline to Market / Milestones</w:t>
            </w:r>
          </w:p>
        </w:tc>
        <w:tc>
          <w:tcPr>
            <w:tcW w:type="dxa" w:w="5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MVP deployed. Five paying customers live. CDW branded product launched. Key upcoming milestones: C-Corp conversion (timing TBD), $1M ARR (budget target by late 2026), Series A close late 2026/early 2027. No regulatory approval path required (FedRAMP compliance via inheritance). Runway to Series A unclear — needs explicit cash/burn statement.</w:t>
            </w:r>
          </w:p>
        </w:tc>
        <w:tc>
          <w:tcPr>
            <w:tcW w:type="dxa" w:w="1360"/>
            <w:tcBorders>
              <w:top w:val="single" w:color="CCCCCC" w:sz="4"/>
              <w:left w:val="single" w:color="CCCCCC" w:sz="4"/>
              <w:bottom w:val="single" w:color="CCCCCC" w:sz="4"/>
              <w:right w:val="single" w:color="CCCCCC" w:sz="4"/>
            </w:tcBorders>
            <w:shd w:fill="F2F2F2" w:val="clear"/>
            <w:tcMar>
              <w:top w:type="dxa" w:w="80"/>
              <w:left w:type="dxa" w:w="80"/>
              <w:bottom w:type="dxa" w:w="80"/>
              <w:right w:type="dxa" w:w="80"/>
            </w:tcMar>
          </w:tcPr>
          <w:p>
            <w:r>
              <w:rPr>
                <w:rFonts w:ascii="Arial" w:cs="Arial" w:eastAsia="Arial" w:hAnsi="Arial"/>
                <w:color w:val="888888"/>
                <w:sz w:val="18"/>
                <w:szCs w:val="18"/>
              </w:rPr>
              <w:t xml:space="preserve">TBD</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80"/>
              <w:bottom w:type="dxa" w:w="80"/>
              <w:right w:type="dxa" w:w="80"/>
            </w:tcMar>
          </w:tcPr>
          <w:p>
            <w:pPr>
              <w:jc w:val="center"/>
            </w:pPr>
            <w:r>
              <w:rPr>
                <w:rFonts w:ascii="Arial" w:cs="Arial" w:eastAsia="Arial" w:hAnsi="Arial"/>
                <w:b/>
                <w:bCs/>
                <w:color w:val="000000"/>
                <w:sz w:val="18"/>
                <w:szCs w:val="18"/>
              </w:rPr>
              <w:t xml:space="preserve">12</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Management Team, Board &amp; Advisors</w:t>
            </w:r>
          </w:p>
        </w:tc>
        <w:tc>
          <w:tcPr>
            <w:tcW w:type="dxa" w:w="5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Brad Levine (CEO), Dennis Boyle (COO), Andrii Dimarov (SVP Technology — 15 years experience, Azure certified, resolves prior 'no CTO' flag), Mark Bortman (SVP Sales), Andrea Parado (SVP Delivery). Ron Nicol (Outside Director). Elycia Morris (Special Projects — not CEO as reported in press). All team members appear full-time. Background checks not confirmed. NWAi board seat / observer rights not negotiated. Advisor quality (KOL vs. CEO friends) not confirmed.</w:t>
            </w:r>
          </w:p>
        </w:tc>
        <w:tc>
          <w:tcPr>
            <w:tcW w:type="dxa" w:w="1360"/>
            <w:tcBorders>
              <w:top w:val="single" w:color="CCCCCC" w:sz="4"/>
              <w:left w:val="single" w:color="CCCCCC" w:sz="4"/>
              <w:bottom w:val="single" w:color="CCCCCC" w:sz="4"/>
              <w:right w:val="single" w:color="CCCCCC" w:sz="4"/>
            </w:tcBorders>
            <w:shd w:fill="F2F2F2" w:val="clear"/>
            <w:tcMar>
              <w:top w:type="dxa" w:w="80"/>
              <w:left w:type="dxa" w:w="80"/>
              <w:bottom w:type="dxa" w:w="80"/>
              <w:right w:type="dxa" w:w="80"/>
            </w:tcMar>
          </w:tcPr>
          <w:p>
            <w:r>
              <w:rPr>
                <w:rFonts w:ascii="Arial" w:cs="Arial" w:eastAsia="Arial" w:hAnsi="Arial"/>
                <w:color w:val="888888"/>
                <w:sz w:val="18"/>
                <w:szCs w:val="18"/>
              </w:rPr>
              <w:t xml:space="preserve">TBD</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80"/>
              <w:bottom w:type="dxa" w:w="80"/>
              <w:right w:type="dxa" w:w="80"/>
            </w:tcMar>
          </w:tcPr>
          <w:p>
            <w:pPr>
              <w:jc w:val="center"/>
            </w:pPr>
            <w:r>
              <w:rPr>
                <w:rFonts w:ascii="Arial" w:cs="Arial" w:eastAsia="Arial" w:hAnsi="Arial"/>
                <w:b/>
                <w:bCs/>
                <w:color w:val="000000"/>
                <w:sz w:val="18"/>
                <w:szCs w:val="18"/>
              </w:rPr>
              <w:t xml:space="preserve">13</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Manufacturing Plans &amp; Product Status</w:t>
            </w:r>
          </w:p>
        </w:tc>
        <w:tc>
          <w:tcPr>
            <w:tcW w:type="dxa" w:w="5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SaaS platform — no manufacturing. AFFIRM deployed on Azure cloud infrastructure. CDW branded product live. Five paying beta/early customers. TRL estimated 7–8 (validated in operating environment). No further product development risk for core platform.</w:t>
            </w:r>
          </w:p>
        </w:tc>
        <w:tc>
          <w:tcPr>
            <w:tcW w:type="dxa" w:w="1360"/>
            <w:tcBorders>
              <w:top w:val="single" w:color="CCCCCC" w:sz="4"/>
              <w:left w:val="single" w:color="CCCCCC" w:sz="4"/>
              <w:bottom w:val="single" w:color="CCCCCC" w:sz="4"/>
              <w:right w:val="single" w:color="CCCCCC" w:sz="4"/>
            </w:tcBorders>
            <w:shd w:fill="F2F2F2" w:val="clear"/>
            <w:tcMar>
              <w:top w:type="dxa" w:w="80"/>
              <w:left w:type="dxa" w:w="80"/>
              <w:bottom w:type="dxa" w:w="80"/>
              <w:right w:type="dxa" w:w="80"/>
            </w:tcMar>
          </w:tcPr>
          <w:p>
            <w:r>
              <w:rPr>
                <w:rFonts w:ascii="Arial" w:cs="Arial" w:eastAsia="Arial" w:hAnsi="Arial"/>
                <w:color w:val="888888"/>
                <w:sz w:val="18"/>
                <w:szCs w:val="18"/>
              </w:rPr>
              <w:t xml:space="preserve">TBD</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80"/>
              <w:bottom w:type="dxa" w:w="80"/>
              <w:right w:type="dxa" w:w="80"/>
            </w:tcMar>
          </w:tcPr>
          <w:p>
            <w:pPr>
              <w:jc w:val="center"/>
            </w:pPr>
            <w:r>
              <w:rPr>
                <w:rFonts w:ascii="Arial" w:cs="Arial" w:eastAsia="Arial" w:hAnsi="Arial"/>
                <w:b/>
                <w:bCs/>
                <w:color w:val="000000"/>
                <w:sz w:val="18"/>
                <w:szCs w:val="18"/>
              </w:rPr>
              <w:t xml:space="preserve">14</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Market Size / Segments / Customers</w:t>
            </w:r>
          </w:p>
        </w:tc>
        <w:tc>
          <w:tcPr>
            <w:tcW w:type="dxa" w:w="5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AIOps market: $492M (Gartner 2026) growing to $1B+ by 2030; ~20%+ CAGR. Bottoms-up SAM (US federal IT ops): ~$1B — consistent with founder TAM, not inflated. Timing score 5/5: AI adoption wave, federal IT modernization mandates, FedRAMP compliance opening, ServiceNow ecosystem maturity. Primary segment: federal agencies and large enterprise IT teams.</w:t>
            </w:r>
          </w:p>
        </w:tc>
        <w:tc>
          <w:tcPr>
            <w:tcW w:type="dxa" w:w="1360"/>
            <w:tcBorders>
              <w:top w:val="single" w:color="CCCCCC" w:sz="4"/>
              <w:left w:val="single" w:color="CCCCCC" w:sz="4"/>
              <w:bottom w:val="single" w:color="CCCCCC" w:sz="4"/>
              <w:right w:val="single" w:color="CCCCCC" w:sz="4"/>
            </w:tcBorders>
            <w:shd w:fill="F2F2F2" w:val="clear"/>
            <w:tcMar>
              <w:top w:type="dxa" w:w="80"/>
              <w:left w:type="dxa" w:w="80"/>
              <w:bottom w:type="dxa" w:w="80"/>
              <w:right w:type="dxa" w:w="80"/>
            </w:tcMar>
          </w:tcPr>
          <w:p>
            <w:r>
              <w:rPr>
                <w:rFonts w:ascii="Arial" w:cs="Arial" w:eastAsia="Arial" w:hAnsi="Arial"/>
                <w:color w:val="888888"/>
                <w:sz w:val="18"/>
                <w:szCs w:val="18"/>
              </w:rPr>
              <w:t xml:space="preserve">TBD</w:t>
            </w:r>
          </w:p>
        </w:tc>
      </w:tr>
      <w:tr>
        <w:tc>
          <w:tcPr>
            <w:tcW w:type="dxa" w:w="600"/>
            <w:tcBorders>
              <w:top w:val="single" w:color="CCCCCC" w:sz="4"/>
              <w:left w:val="single" w:color="CCCCCC" w:sz="4"/>
              <w:bottom w:val="single" w:color="CCCCCC" w:sz="4"/>
              <w:right w:val="single" w:color="CCCCCC" w:sz="4"/>
            </w:tcBorders>
            <w:shd w:fill="FCE4D6" w:val="clear"/>
            <w:tcMar>
              <w:top w:type="dxa" w:w="80"/>
              <w:left w:type="dxa" w:w="80"/>
              <w:bottom w:type="dxa" w:w="80"/>
              <w:right w:type="dxa" w:w="80"/>
            </w:tcMar>
          </w:tcPr>
          <w:p>
            <w:pPr>
              <w:jc w:val="center"/>
            </w:pPr>
            <w:r>
              <w:rPr>
                <w:rFonts w:ascii="Arial" w:cs="Arial" w:eastAsia="Arial" w:hAnsi="Arial"/>
                <w:b/>
                <w:bCs/>
                <w:color w:val="C00000"/>
                <w:sz w:val="18"/>
                <w:szCs w:val="18"/>
              </w:rPr>
              <w:t xml:space="preserve">15 ⚠️</w:t>
            </w:r>
          </w:p>
        </w:tc>
        <w:tc>
          <w:tcPr>
            <w:tcW w:type="dxa" w:w="24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b/>
                <w:bCs/>
                <w:color w:val="C00000"/>
                <w:sz w:val="18"/>
                <w:szCs w:val="18"/>
              </w:rPr>
              <w:t xml:space="preserve">Historical Financials, Balance Sheet, Taxes — URGENT</w:t>
            </w:r>
          </w:p>
        </w:tc>
        <w:tc>
          <w:tcPr>
            <w:tcW w:type="dxa" w:w="5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2026 Budget P&amp;L provided in xlsx. CIBC line of credit disclosed. Q1 2026 actual revenue: $24,375 (5 customers per pitch deck) — conflicts with budget xlsx Q1 figure of $1,530. Prior year tax returns not provided. Historical financials not provided. Balance sheet detail not in data room. Revenue recognition policy not documented.</w:t>
            </w:r>
          </w:p>
        </w:tc>
        <w:tc>
          <w:tcPr>
            <w:tcW w:type="dxa" w:w="1360"/>
            <w:tcBorders>
              <w:top w:val="single" w:color="CCCCCC" w:sz="4"/>
              <w:left w:val="single" w:color="CCCCCC" w:sz="4"/>
              <w:bottom w:val="single" w:color="CCCCCC" w:sz="4"/>
              <w:right w:val="single" w:color="CCCCCC" w:sz="4"/>
            </w:tcBorders>
            <w:shd w:fill="F2F2F2" w:val="clear"/>
            <w:tcMar>
              <w:top w:type="dxa" w:w="80"/>
              <w:left w:type="dxa" w:w="80"/>
              <w:bottom w:type="dxa" w:w="80"/>
              <w:right w:type="dxa" w:w="80"/>
            </w:tcMar>
          </w:tcPr>
          <w:p>
            <w:r>
              <w:rPr>
                <w:rFonts w:ascii="Arial" w:cs="Arial" w:eastAsia="Arial" w:hAnsi="Arial"/>
                <w:color w:val="888888"/>
                <w:sz w:val="18"/>
                <w:szCs w:val="18"/>
              </w:rPr>
              <w:t xml:space="preserve">TBD</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80"/>
              <w:bottom w:type="dxa" w:w="80"/>
              <w:right w:type="dxa" w:w="80"/>
            </w:tcMar>
          </w:tcPr>
          <w:p>
            <w:pPr>
              <w:jc w:val="center"/>
            </w:pPr>
            <w:r>
              <w:rPr>
                <w:rFonts w:ascii="Arial" w:cs="Arial" w:eastAsia="Arial" w:hAnsi="Arial"/>
                <w:b/>
                <w:bCs/>
                <w:color w:val="000000"/>
                <w:sz w:val="18"/>
                <w:szCs w:val="18"/>
              </w:rPr>
              <w:t xml:space="preserve">16</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Product Promise, Testing, Status &amp; Next Steps</w:t>
            </w:r>
          </w:p>
        </w:tc>
        <w:tc>
          <w:tcPr>
            <w:tcW w:type="dxa" w:w="5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AFFIRM core product deployed and paying customers using it. CDW has built a branded product on AFFIRM — strong validation signal. FedRAMP compliance via Project Hosts ATO inheritance (letter from Project Hosts CISO Joshua Krueger, Dec 22 2025). ServiceNow ITSM integration live. TRL ~7–8. No additional beta testing phase required. Key next steps: pricing normalization, ARR ramp via CDW pipeline.</w:t>
            </w:r>
          </w:p>
        </w:tc>
        <w:tc>
          <w:tcPr>
            <w:tcW w:type="dxa" w:w="1360"/>
            <w:tcBorders>
              <w:top w:val="single" w:color="CCCCCC" w:sz="4"/>
              <w:left w:val="single" w:color="CCCCCC" w:sz="4"/>
              <w:bottom w:val="single" w:color="CCCCCC" w:sz="4"/>
              <w:right w:val="single" w:color="CCCCCC" w:sz="4"/>
            </w:tcBorders>
            <w:shd w:fill="F2F2F2" w:val="clear"/>
            <w:tcMar>
              <w:top w:type="dxa" w:w="80"/>
              <w:left w:type="dxa" w:w="80"/>
              <w:bottom w:type="dxa" w:w="80"/>
              <w:right w:type="dxa" w:w="80"/>
            </w:tcMar>
          </w:tcPr>
          <w:p>
            <w:r>
              <w:rPr>
                <w:rFonts w:ascii="Arial" w:cs="Arial" w:eastAsia="Arial" w:hAnsi="Arial"/>
                <w:color w:val="888888"/>
                <w:sz w:val="18"/>
                <w:szCs w:val="18"/>
              </w:rPr>
              <w:t xml:space="preserve">TBD</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80"/>
              <w:bottom w:type="dxa" w:w="80"/>
              <w:right w:type="dxa" w:w="80"/>
            </w:tcMar>
          </w:tcPr>
          <w:p>
            <w:pPr>
              <w:jc w:val="center"/>
            </w:pPr>
            <w:r>
              <w:rPr>
                <w:rFonts w:ascii="Arial" w:cs="Arial" w:eastAsia="Arial" w:hAnsi="Arial"/>
                <w:b/>
                <w:bCs/>
                <w:color w:val="000000"/>
                <w:sz w:val="18"/>
                <w:szCs w:val="18"/>
              </w:rPr>
              <w:t xml:space="preserve">17</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Recordings of Company Presentations</w:t>
            </w:r>
          </w:p>
        </w:tc>
        <w:tc>
          <w:tcPr>
            <w:tcW w:type="dxa" w:w="5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Live pitch transcript provided (03/2026). Recording of pitch not provided. Assigned to DD Lead.</w:t>
            </w:r>
          </w:p>
        </w:tc>
        <w:tc>
          <w:tcPr>
            <w:tcW w:type="dxa" w:w="1360"/>
            <w:tcBorders>
              <w:top w:val="single" w:color="CCCCCC" w:sz="4"/>
              <w:left w:val="single" w:color="CCCCCC" w:sz="4"/>
              <w:bottom w:val="single" w:color="CCCCCC" w:sz="4"/>
              <w:right w:val="single" w:color="CCCCCC" w:sz="4"/>
            </w:tcBorders>
            <w:shd w:fill="F2F2F2" w:val="clear"/>
            <w:tcMar>
              <w:top w:type="dxa" w:w="80"/>
              <w:left w:type="dxa" w:w="80"/>
              <w:bottom w:type="dxa" w:w="80"/>
              <w:right w:type="dxa" w:w="80"/>
            </w:tcMar>
          </w:tcPr>
          <w:p>
            <w:r>
              <w:rPr>
                <w:rFonts w:ascii="Arial" w:cs="Arial" w:eastAsia="Arial" w:hAnsi="Arial"/>
                <w:color w:val="888888"/>
                <w:sz w:val="18"/>
                <w:szCs w:val="18"/>
              </w:rPr>
              <w:t xml:space="preserve">TBD</w:t>
            </w:r>
          </w:p>
        </w:tc>
      </w:tr>
    </w:tbl>
    <w:p>
      <w:pPr>
        <w:spacing w:after="0" w:before="0"/>
      </w:pPr>
      <w:r>
        <w:t xml:space="preserve"/>
      </w:r>
    </w:p>
    <w:p>
      <w:r>
        <w:br w:type="page"/>
      </w:r>
    </w:p>
    <w:p>
      <w:pPr>
        <w:pBdr>
          <w:bottom w:val="single" w:color="1F3864" w:sz="6" w:space="4"/>
        </w:pBdr>
        <w:spacing w:after="100" w:before="280"/>
      </w:pPr>
      <w:r>
        <w:rPr>
          <w:rFonts w:ascii="Arial" w:cs="Arial" w:eastAsia="Arial" w:hAnsi="Arial"/>
          <w:b/>
          <w:bCs/>
          <w:color w:val="1F3864"/>
          <w:sz w:val="26"/>
          <w:szCs w:val="26"/>
        </w:rPr>
        <w:t xml:space="preserve">Part D — Open Questions for Founder</w:t>
      </w:r>
    </w:p>
    <w:p>
      <w:pPr>
        <w:spacing w:after="0" w:before="0"/>
      </w:pPr>
      <w:r>
        <w:t xml:space="preserve"/>
      </w:r>
    </w:p>
    <w:p>
      <w:pPr>
        <w:shd w:fill="FCE4D6" w:val="clear"/>
        <w:spacing w:after="100" w:before="60"/>
      </w:pPr>
      <w:r>
        <w:rPr>
          <w:rFonts w:ascii="Arial" w:cs="Arial" w:eastAsia="Arial" w:hAnsi="Arial"/>
          <w:b/>
          <w:bCs/>
          <w:color w:val="C00000"/>
          <w:sz w:val="22"/>
          <w:szCs w:val="22"/>
        </w:rPr>
        <w:t xml:space="preserve">GATE-CRITICAL — Must answer before NWAi can advance to term sheet</w:t>
      </w:r>
    </w:p>
    <w:p>
      <w:pPr>
        <w:pStyle w:val="ListParagraph"/>
        <w:numPr>
          <w:ilvl w:val="0"/>
          <w:numId w:val="3"/>
        </w:numPr>
        <w:spacing w:after="40" w:before="40"/>
      </w:pPr>
      <w:r>
        <w:rPr>
          <w:rFonts w:ascii="Arial" w:cs="Arial" w:eastAsia="Arial" w:hAnsi="Arial"/>
          <w:sz w:val="20"/>
          <w:szCs w:val="20"/>
        </w:rPr>
        <w:t xml:space="preserve">C-Corp Conversion: What is the specific plan and timeline for converting Synergist Technology from LLC to C-Corp? Has legal counsel been engaged? Is conversion contingent on Series A closing, or can it be executed independently and prior to NWAi investment?</w:t>
      </w:r>
    </w:p>
    <w:p>
      <w:pPr>
        <w:pStyle w:val="ListParagraph"/>
        <w:numPr>
          <w:ilvl w:val="0"/>
          <w:numId w:val="3"/>
        </w:numPr>
        <w:spacing w:after="40" w:before="40"/>
      </w:pPr>
      <w:r>
        <w:rPr>
          <w:rFonts w:ascii="Arial" w:cs="Arial" w:eastAsia="Arial" w:hAnsi="Arial"/>
          <w:sz w:val="20"/>
          <w:szCs w:val="20"/>
        </w:rPr>
        <w:t xml:space="preserve">Revenue Discrepancy: The pitch deck shows Q1 2026 actual revenue of $24,375 across 5 customers. The 2026 Budget Excel shows a Q1 budget figure of $1,530. These are materially inconsistent. What are the actual Q1 2026 revenues, and what does the budget model represent? Please provide auditable monthly revenue figures from inception.</w:t>
      </w:r>
    </w:p>
    <w:p>
      <w:pPr>
        <w:pStyle w:val="ListParagraph"/>
        <w:numPr>
          <w:ilvl w:val="0"/>
          <w:numId w:val="3"/>
        </w:numPr>
        <w:spacing w:after="40" w:before="40"/>
      </w:pPr>
      <w:r>
        <w:rPr>
          <w:rFonts w:ascii="Arial" w:cs="Arial" w:eastAsia="Arial" w:hAnsi="Arial"/>
          <w:sz w:val="20"/>
          <w:szCs w:val="20"/>
        </w:rPr>
        <w:t xml:space="preserve">Pricing Below Floor: Current average contract value is approximately $4,875, which is below the stated $7,500 per-customer price floor. Are the current 5 customers on legacy or pilot pricing? What is the contractual path to repricing at standard rates, and when do current agreements come up for renewal or renegotiation?</w:t>
      </w:r>
    </w:p>
    <w:p>
      <w:pPr>
        <w:pStyle w:val="ListParagraph"/>
        <w:numPr>
          <w:ilvl w:val="0"/>
          <w:numId w:val="3"/>
        </w:numPr>
        <w:spacing w:after="40" w:before="40"/>
      </w:pPr>
      <w:r>
        <w:rPr>
          <w:rFonts w:ascii="Arial" w:cs="Arial" w:eastAsia="Arial" w:hAnsi="Arial"/>
          <w:sz w:val="20"/>
          <w:szCs w:val="20"/>
        </w:rPr>
        <w:t xml:space="preserve">Round Structure (SAFE vs. Equity): The pitch deck references a SAFE structure for the current raise. NWAi investment criteria require equity — no SAFEs. Is there a path to structuring the current round as a priced equity round? What would the pre-money valuation be?</w:t>
      </w:r>
    </w:p>
    <w:p>
      <w:pPr>
        <w:spacing w:after="0" w:before="0"/>
      </w:pPr>
      <w:r>
        <w:t xml:space="preserve"/>
      </w:r>
    </w:p>
    <w:p>
      <w:pPr>
        <w:shd w:fill="FFF2CC" w:val="clear"/>
        <w:spacing w:after="100" w:before="60"/>
      </w:pPr>
      <w:r>
        <w:rPr>
          <w:rFonts w:ascii="Arial" w:cs="Arial" w:eastAsia="Arial" w:hAnsi="Arial"/>
          <w:b/>
          <w:bCs/>
          <w:color w:val="7F6000"/>
          <w:sz w:val="22"/>
          <w:szCs w:val="22"/>
        </w:rPr>
        <w:t xml:space="preserve">SCORING INPUTS — Needed to complete rubric scoring</w:t>
      </w:r>
    </w:p>
    <w:p>
      <w:pPr>
        <w:pStyle w:val="ListParagraph"/>
        <w:numPr>
          <w:ilvl w:val="0"/>
          <w:numId w:val="4"/>
        </w:numPr>
        <w:spacing w:after="40" w:before="40"/>
      </w:pPr>
      <w:r>
        <w:rPr>
          <w:rFonts w:ascii="Arial" w:cs="Arial" w:eastAsia="Arial" w:hAnsi="Arial"/>
          <w:sz w:val="20"/>
          <w:szCs w:val="20"/>
        </w:rPr>
        <w:t xml:space="preserve">Runway: What is the current cash position, monthly gross burn rate, and estimated runway before Series A is required? Does the CIBC credit line provide additional buffer — what are the draw terms and what is the current availability?</w:t>
      </w:r>
    </w:p>
    <w:p>
      <w:pPr>
        <w:pStyle w:val="ListParagraph"/>
        <w:numPr>
          <w:ilvl w:val="0"/>
          <w:numId w:val="4"/>
        </w:numPr>
        <w:spacing w:after="40" w:before="40"/>
      </w:pPr>
      <w:r>
        <w:rPr>
          <w:rFonts w:ascii="Arial" w:cs="Arial" w:eastAsia="Arial" w:hAnsi="Arial"/>
          <w:sz w:val="20"/>
          <w:szCs w:val="20"/>
        </w:rPr>
        <w:t xml:space="preserve">CDW Contract Structure: Is CDW paying Synergist a revenue share, a fixed licensing fee, or a per-deployment fee? Is there a minimum committed revenue or minimum volume guarantee under the CDW agreement? What is the anticipated CDW-sourced ARR for FY2026?</w:t>
      </w:r>
    </w:p>
    <w:p>
      <w:pPr>
        <w:pStyle w:val="ListParagraph"/>
        <w:numPr>
          <w:ilvl w:val="0"/>
          <w:numId w:val="4"/>
        </w:numPr>
        <w:spacing w:after="40" w:before="40"/>
      </w:pPr>
      <w:r>
        <w:rPr>
          <w:rFonts w:ascii="Arial" w:cs="Arial" w:eastAsia="Arial" w:hAnsi="Arial"/>
          <w:sz w:val="20"/>
          <w:szCs w:val="20"/>
        </w:rPr>
        <w:t xml:space="preserve">ARR vs. TCV: What is the current ARR figure? Are contracts structured as monthly, annual, or multi-year? Is there any deferred revenue on the balance sheet?</w:t>
      </w:r>
    </w:p>
    <w:p>
      <w:pPr>
        <w:pStyle w:val="ListParagraph"/>
        <w:numPr>
          <w:ilvl w:val="0"/>
          <w:numId w:val="4"/>
        </w:numPr>
        <w:spacing w:after="40" w:before="40"/>
      </w:pPr>
      <w:r>
        <w:rPr>
          <w:rFonts w:ascii="Arial" w:cs="Arial" w:eastAsia="Arial" w:hAnsi="Arial"/>
          <w:sz w:val="20"/>
          <w:szCs w:val="20"/>
        </w:rPr>
        <w:t xml:space="preserve">Unit Economics: What is the average customer acquisition cost (including CDW co-selling costs)? What is the average contract duration and observed renewal rate across the 5 existing customers?</w:t>
      </w:r>
    </w:p>
    <w:p>
      <w:pPr>
        <w:pStyle w:val="ListParagraph"/>
        <w:numPr>
          <w:ilvl w:val="0"/>
          <w:numId w:val="4"/>
        </w:numPr>
        <w:spacing w:after="40" w:before="40"/>
      </w:pPr>
      <w:r>
        <w:rPr>
          <w:rFonts w:ascii="Arial" w:cs="Arial" w:eastAsia="Arial" w:hAnsi="Arial"/>
          <w:sz w:val="20"/>
          <w:szCs w:val="20"/>
        </w:rPr>
        <w:t xml:space="preserve">FedRAMP Path: Is the plan to maintain FedRAMP compliance via Project Hosts ATO inheritance indefinitely, or is Synergist pursuing its own standalone FedRAMP authorization? If so, what is the timeline and estimated cost?</w:t>
      </w:r>
    </w:p>
    <w:p>
      <w:pPr>
        <w:pStyle w:val="ListParagraph"/>
        <w:numPr>
          <w:ilvl w:val="0"/>
          <w:numId w:val="4"/>
        </w:numPr>
        <w:spacing w:after="40" w:before="40"/>
      </w:pPr>
      <w:r>
        <w:rPr>
          <w:rFonts w:ascii="Arial" w:cs="Arial" w:eastAsia="Arial" w:hAnsi="Arial"/>
          <w:sz w:val="20"/>
          <w:szCs w:val="20"/>
        </w:rPr>
        <w:t xml:space="preserve">Customer Churn: Have any of the 5 beta or early customers churned or failed to renew? What is the current gross and net revenue retention rate?</w:t>
      </w:r>
    </w:p>
    <w:p>
      <w:pPr>
        <w:spacing w:after="0" w:before="0"/>
      </w:pPr>
      <w:r>
        <w:t xml:space="preserve"/>
      </w:r>
    </w:p>
    <w:p>
      <w:pPr>
        <w:shd w:fill="D5E8F0" w:val="clear"/>
        <w:spacing w:after="100" w:before="60"/>
      </w:pPr>
      <w:r>
        <w:rPr>
          <w:rFonts w:ascii="Arial" w:cs="Arial" w:eastAsia="Arial" w:hAnsi="Arial"/>
          <w:b/>
          <w:bCs/>
          <w:color w:val="1F3864"/>
          <w:sz w:val="22"/>
          <w:szCs w:val="22"/>
        </w:rPr>
        <w:t xml:space="preserve">NICE TO HAVE — Enriches analysis, not blocking</w:t>
      </w:r>
    </w:p>
    <w:p>
      <w:pPr>
        <w:pStyle w:val="ListParagraph"/>
        <w:numPr>
          <w:ilvl w:val="0"/>
          <w:numId w:val="5"/>
        </w:numPr>
        <w:spacing w:after="40" w:before="40"/>
      </w:pPr>
      <w:r>
        <w:rPr>
          <w:rFonts w:ascii="Arial" w:cs="Arial" w:eastAsia="Arial" w:hAnsi="Arial"/>
          <w:sz w:val="20"/>
          <w:szCs w:val="20"/>
        </w:rPr>
        <w:t xml:space="preserve">CDW Pipeline: What is the current CDW-managed pipeline — number of federal agency and enterprise prospects, anticipated deal sizes, and expected close dates for the next 2–3 deals?</w:t>
      </w:r>
    </w:p>
    <w:p>
      <w:pPr>
        <w:pStyle w:val="ListParagraph"/>
        <w:numPr>
          <w:ilvl w:val="0"/>
          <w:numId w:val="5"/>
        </w:numPr>
        <w:spacing w:after="40" w:before="40"/>
      </w:pPr>
      <w:r>
        <w:rPr>
          <w:rFonts w:ascii="Arial" w:cs="Arial" w:eastAsia="Arial" w:hAnsi="Arial"/>
          <w:sz w:val="20"/>
          <w:szCs w:val="20"/>
        </w:rPr>
        <w:t xml:space="preserve">Competitive Wins: Has AFFIRM displaced an incumbent AIOps solution at any named customer? What was the competitive situation, the incumbent being replaced, and what was the deciding factor in the selection?</w:t>
      </w:r>
    </w:p>
    <w:p>
      <w:pPr>
        <w:pStyle w:val="ListParagraph"/>
        <w:numPr>
          <w:ilvl w:val="0"/>
          <w:numId w:val="5"/>
        </w:numPr>
        <w:spacing w:after="40" w:before="40"/>
      </w:pPr>
      <w:r>
        <w:rPr>
          <w:rFonts w:ascii="Arial" w:cs="Arial" w:eastAsia="Arial" w:hAnsi="Arial"/>
          <w:sz w:val="20"/>
          <w:szCs w:val="20"/>
        </w:rPr>
        <w:t xml:space="preserve">Product Roadmap: What are the top 3 product priorities for FY2026–2027, and how do they specifically contribute to deepening the Memory Lock-in and data flywheel moats?</w:t>
      </w:r>
    </w:p>
    <w:p>
      <w:pPr>
        <w:pStyle w:val="ListParagraph"/>
        <w:numPr>
          <w:ilvl w:val="0"/>
          <w:numId w:val="5"/>
        </w:numPr>
        <w:spacing w:after="40" w:before="40"/>
      </w:pPr>
      <w:r>
        <w:rPr>
          <w:rFonts w:ascii="Arial" w:cs="Arial" w:eastAsia="Arial" w:hAnsi="Arial"/>
          <w:sz w:val="20"/>
          <w:szCs w:val="20"/>
        </w:rPr>
        <w:t xml:space="preserve">Advisory Board: Who are the named advisors, and what specific introductions or domain expertise have they contributed to date? Are any advisors compensated with equity?</w:t>
      </w:r>
    </w:p>
    <w:p>
      <w:pPr>
        <w:spacing w:after="0" w:before="0"/>
      </w:pPr>
      <w:r>
        <w:t xml:space="preserve"/>
      </w:r>
    </w:p>
    <w:p>
      <w:r>
        <w:br w:type="page"/>
      </w:r>
    </w:p>
    <w:p>
      <w:pPr>
        <w:pBdr>
          <w:bottom w:val="single" w:color="1F3864" w:sz="6" w:space="4"/>
        </w:pBdr>
        <w:spacing w:after="100" w:before="280"/>
      </w:pPr>
      <w:r>
        <w:rPr>
          <w:rFonts w:ascii="Arial" w:cs="Arial" w:eastAsia="Arial" w:hAnsi="Arial"/>
          <w:b/>
          <w:bCs/>
          <w:color w:val="1F3864"/>
          <w:sz w:val="26"/>
          <w:szCs w:val="26"/>
        </w:rPr>
        <w:t xml:space="preserve">Part E — Recommended Next Steps</w:t>
      </w:r>
    </w:p>
    <w:p>
      <w:pPr>
        <w:spacing w:after="0" w:before="0"/>
      </w:pPr>
      <w:r>
        <w:t xml:space="preserve"/>
      </w:r>
    </w:p>
    <w:p>
      <w:pPr>
        <w:pBdr>
          <w:left w:val="single" w:color="BF8F00" w:sz="12" w:space="4"/>
        </w:pBdr>
        <w:shd w:fill="FFF2CC" w:val="clear"/>
        <w:spacing w:after="120" w:before="120"/>
        <w:ind w:left="200"/>
      </w:pPr>
      <w:r>
        <w:rPr>
          <w:rFonts w:ascii="Arial" w:cs="Arial" w:eastAsia="Arial" w:hAnsi="Arial"/>
          <w:b/>
          <w:bCs/>
          <w:color w:val="7F6000"/>
          <w:sz w:val="30"/>
          <w:szCs w:val="30"/>
        </w:rPr>
        <w:t xml:space="preserve">VERDICT: </w:t>
      </w:r>
      <w:r>
        <w:rPr>
          <w:rFonts w:ascii="Arial" w:cs="Arial" w:eastAsia="Arial" w:hAnsi="Arial"/>
          <w:b/>
          <w:bCs/>
          <w:color w:val="7F6000"/>
          <w:sz w:val="30"/>
          <w:szCs w:val="30"/>
        </w:rPr>
        <w:t xml:space="preserve">ADVANCE WITH CONDITIONS</w:t>
      </w:r>
    </w:p>
    <w:p>
      <w:pPr>
        <w:spacing w:after="0" w:before="0"/>
      </w:pPr>
      <w:r>
        <w:t xml:space="preserve"/>
      </w:r>
    </w:p>
    <w:p>
      <w:pPr>
        <w:spacing w:after="60" w:before="80"/>
      </w:pPr>
      <w:r>
        <w:rPr>
          <w:rFonts w:ascii="Arial" w:cs="Arial" w:eastAsia="Arial" w:hAnsi="Arial"/>
          <w:b w:val="false"/>
          <w:bCs w:val="false"/>
          <w:color w:val="000000"/>
          <w:sz w:val="20"/>
          <w:szCs w:val="20"/>
        </w:rPr>
        <w:t xml:space="preserve">Synergist Technology presents a credible thesis at the intersection of federal IT modernization and AIOps — a well-timed market with strong tailwinds and a validated go-to-market channel through CDW. The technology is not a thin wrapper, the team has relevant depth, and the CDW partnership demonstrates real enterprise traction. However, the LLC structure is an AutoKill gate that blocks investment, and the financial picture carries too many unresolved questions to advance unconditionally.</w:t>
      </w:r>
    </w:p>
    <w:p>
      <w:pPr>
        <w:spacing w:after="0" w:before="0"/>
      </w:pPr>
      <w:r>
        <w:t xml:space="preserve"/>
      </w:r>
    </w:p>
    <w:p>
      <w:pPr>
        <w:spacing w:after="60" w:before="200"/>
      </w:pPr>
      <w:r>
        <w:rPr>
          <w:rFonts w:ascii="Arial" w:cs="Arial" w:eastAsia="Arial" w:hAnsi="Arial"/>
          <w:b/>
          <w:bCs/>
          <w:color w:val="1F3864"/>
          <w:sz w:val="22"/>
          <w:szCs w:val="22"/>
        </w:rPr>
        <w:t xml:space="preserve">Conditions for Advancement</w:t>
      </w:r>
    </w:p>
    <w:p>
      <w:pPr>
        <w:pStyle w:val="ListParagraph"/>
        <w:numPr>
          <w:ilvl w:val="0"/>
          <w:numId w:val="2"/>
        </w:numPr>
        <w:spacing w:after="40" w:before="40"/>
      </w:pPr>
      <w:r>
        <w:rPr>
          <w:rFonts w:ascii="Arial" w:cs="Arial" w:eastAsia="Arial" w:hAnsi="Arial"/>
          <w:sz w:val="20"/>
          <w:szCs w:val="20"/>
        </w:rPr>
        <w:t xml:space="preserve">CONDITION 1 — C-Corp Conversion Plan Confirmed: Brad Levine must provide a specific legal plan and timeline for converting from LLC to C-Corp, executed or committed before NWAi term sheet issuance. This is non-negotiable per NWAi investment criteria.</w:t>
      </w:r>
    </w:p>
    <w:p>
      <w:pPr>
        <w:pStyle w:val="ListParagraph"/>
        <w:numPr>
          <w:ilvl w:val="0"/>
          <w:numId w:val="2"/>
        </w:numPr>
        <w:spacing w:after="40" w:before="40"/>
      </w:pPr>
      <w:r>
        <w:rPr>
          <w:rFonts w:ascii="Arial" w:cs="Arial" w:eastAsia="Arial" w:hAnsi="Arial"/>
          <w:sz w:val="20"/>
          <w:szCs w:val="20"/>
        </w:rPr>
        <w:t xml:space="preserve">CONDITION 2 — Revenue Discrepancy Reconciled: The conflict between the pitch deck Q1 actual ($24,375) and the budget xlsx Q1 figure ($1,530) must be explained and supported with auditable records. NWAi cannot model financial returns on figures that conflict with each other.</w:t>
      </w:r>
    </w:p>
    <w:p>
      <w:pPr>
        <w:pStyle w:val="ListParagraph"/>
        <w:numPr>
          <w:ilvl w:val="0"/>
          <w:numId w:val="2"/>
        </w:numPr>
        <w:spacing w:after="40" w:before="40"/>
      </w:pPr>
      <w:r>
        <w:rPr>
          <w:rFonts w:ascii="Arial" w:cs="Arial" w:eastAsia="Arial" w:hAnsi="Arial"/>
          <w:sz w:val="20"/>
          <w:szCs w:val="20"/>
        </w:rPr>
        <w:t xml:space="preserve">CONDITION 3 — Runway Disclosed: Current cash position, burn rate, and runway to Series A must be provided. If runway is less than 12 months, the urgency of the Series A close and potential bridge mechanics must be addressed.</w:t>
      </w:r>
    </w:p>
    <w:p>
      <w:pPr>
        <w:pStyle w:val="ListParagraph"/>
        <w:numPr>
          <w:ilvl w:val="0"/>
          <w:numId w:val="2"/>
        </w:numPr>
        <w:spacing w:after="40" w:before="40"/>
      </w:pPr>
      <w:r>
        <w:rPr>
          <w:rFonts w:ascii="Arial" w:cs="Arial" w:eastAsia="Arial" w:hAnsi="Arial"/>
          <w:sz w:val="20"/>
          <w:szCs w:val="20"/>
        </w:rPr>
        <w:t xml:space="preserve">CONDITION 4 — Pricing Normalization Path Confirmed: Path to repricing existing customers at the $7,500+ floor must be confirmed, including contract renewal dates and any contractual constraints on repricing.</w:t>
      </w:r>
    </w:p>
    <w:p>
      <w:pPr>
        <w:pStyle w:val="ListParagraph"/>
        <w:numPr>
          <w:ilvl w:val="0"/>
          <w:numId w:val="2"/>
        </w:numPr>
        <w:spacing w:after="40" w:before="40"/>
      </w:pPr>
      <w:r>
        <w:rPr>
          <w:rFonts w:ascii="Arial" w:cs="Arial" w:eastAsia="Arial" w:hAnsi="Arial"/>
          <w:sz w:val="20"/>
          <w:szCs w:val="20"/>
        </w:rPr>
        <w:t xml:space="preserve">CONDITION 5 — CDW Contract Economics Confirmed: Minimum revenue commitments or volume guarantees under the CDW agreement must be disclosed to validate the Bull Case growth thesis.</w:t>
      </w:r>
    </w:p>
    <w:p>
      <w:pPr>
        <w:spacing w:after="0" w:before="0"/>
      </w:pPr>
      <w:r>
        <w:t xml:space="preserve"/>
      </w:r>
    </w:p>
    <w:p>
      <w:pPr>
        <w:spacing w:after="60" w:before="200"/>
      </w:pPr>
      <w:r>
        <w:rPr>
          <w:rFonts w:ascii="Arial" w:cs="Arial" w:eastAsia="Arial" w:hAnsi="Arial"/>
          <w:b/>
          <w:bCs/>
          <w:color w:val="1F3864"/>
          <w:sz w:val="22"/>
          <w:szCs w:val="22"/>
        </w:rPr>
        <w:t xml:space="preserve">Suggested Next Actions</w:t>
      </w:r>
    </w:p>
    <w:p>
      <w:pPr>
        <w:pStyle w:val="ListParagraph"/>
        <w:numPr>
          <w:ilvl w:val="0"/>
          <w:numId w:val="2"/>
        </w:numPr>
        <w:spacing w:after="40" w:before="40"/>
      </w:pPr>
      <w:r>
        <w:rPr>
          <w:rFonts w:ascii="Arial" w:cs="Arial" w:eastAsia="Arial" w:hAnsi="Arial"/>
          <w:sz w:val="20"/>
          <w:szCs w:val="20"/>
        </w:rPr>
        <w:t xml:space="preserve">Schedule founder call with Brad Levine within 10 business days. Lead with gate-critical questions (C-Corp conversion, revenue reconciliation, round structure).</w:t>
      </w:r>
    </w:p>
    <w:p>
      <w:pPr>
        <w:pStyle w:val="ListParagraph"/>
        <w:numPr>
          <w:ilvl w:val="0"/>
          <w:numId w:val="2"/>
        </w:numPr>
        <w:spacing w:after="40" w:before="40"/>
      </w:pPr>
      <w:r>
        <w:rPr>
          <w:rFonts w:ascii="Arial" w:cs="Arial" w:eastAsia="Arial" w:hAnsi="Arial"/>
          <w:sz w:val="20"/>
          <w:szCs w:val="20"/>
        </w:rPr>
        <w:t xml:space="preserve">Assign 17-folder DD team. Prioritize Folders 1 (Cap Table), 2 (Financial Model), 8 (Exit Assessment), and 15 (Historical Financials) — all marked URGENT in Part C.</w:t>
      </w:r>
    </w:p>
    <w:p>
      <w:pPr>
        <w:pStyle w:val="ListParagraph"/>
        <w:numPr>
          <w:ilvl w:val="0"/>
          <w:numId w:val="2"/>
        </w:numPr>
        <w:spacing w:after="40" w:before="40"/>
      </w:pPr>
      <w:r>
        <w:rPr>
          <w:rFonts w:ascii="Arial" w:cs="Arial" w:eastAsia="Arial" w:hAnsi="Arial"/>
          <w:sz w:val="20"/>
          <w:szCs w:val="20"/>
        </w:rPr>
        <w:t xml:space="preserve">Request supplemental data room materials: historical P&amp;L (2024–2025), updated cap table post-CIBC, and CDW contract redline or term sheet summary.</w:t>
      </w:r>
    </w:p>
    <w:p>
      <w:pPr>
        <w:pStyle w:val="ListParagraph"/>
        <w:numPr>
          <w:ilvl w:val="0"/>
          <w:numId w:val="2"/>
        </w:numPr>
        <w:spacing w:after="40" w:before="40"/>
      </w:pPr>
      <w:r>
        <w:rPr>
          <w:rFonts w:ascii="Arial" w:cs="Arial" w:eastAsia="Arial" w:hAnsi="Arial"/>
          <w:sz w:val="20"/>
          <w:szCs w:val="20"/>
        </w:rPr>
        <w:t xml:space="preserve">NWAi deal lead to build independent Bear/Base/Bull financial model using NWAi benchmarks once Q1 actuals are confirmed. Do not rely on company's model.</w:t>
      </w:r>
    </w:p>
    <w:p>
      <w:pPr>
        <w:pStyle w:val="ListParagraph"/>
        <w:numPr>
          <w:ilvl w:val="0"/>
          <w:numId w:val="2"/>
        </w:numPr>
        <w:spacing w:after="40" w:before="40"/>
      </w:pPr>
      <w:r>
        <w:rPr>
          <w:rFonts w:ascii="Arial" w:cs="Arial" w:eastAsia="Arial" w:hAnsi="Arial"/>
          <w:sz w:val="20"/>
          <w:szCs w:val="20"/>
        </w:rPr>
        <w:t xml:space="preserve">Once conditions 1–5 above are satisfied, advance to full diligence with IC update at the 30-day mark.</w:t>
      </w:r>
    </w:p>
    <w:p>
      <w:pPr>
        <w:spacing w:after="0" w:before="0"/>
      </w:pPr>
      <w:r>
        <w:t xml:space="preserve"/>
      </w:r>
    </w:p>
    <w:p>
      <w:pPr>
        <w:spacing w:after="60" w:before="200"/>
      </w:pPr>
      <w:r>
        <w:rPr>
          <w:rFonts w:ascii="Arial" w:cs="Arial" w:eastAsia="Arial" w:hAnsi="Arial"/>
          <w:b/>
          <w:bCs/>
          <w:color w:val="1F3864"/>
          <w:sz w:val="22"/>
          <w:szCs w:val="22"/>
        </w:rPr>
        <w:t xml:space="preserve">Watch Trigger (if conditions are not met)</w:t>
      </w:r>
    </w:p>
    <w:p>
      <w:pPr>
        <w:spacing w:after="60" w:before="60"/>
      </w:pPr>
      <w:r>
        <w:rPr>
          <w:rFonts w:ascii="Arial" w:cs="Arial" w:eastAsia="Arial" w:hAnsi="Arial"/>
          <w:b w:val="false"/>
          <w:bCs w:val="false"/>
          <w:color w:val="000000"/>
          <w:sz w:val="20"/>
          <w:szCs w:val="20"/>
        </w:rPr>
        <w:t xml:space="preserve">If C-Corp conversion is not committed within 60 days, or if the revenue discrepancy cannot be resolved, place deal in Watch status. Re-evaluate when: (1) C-Corp conversion is completed, and (2) Series A is priced with a confirmed lead investor — both of which would also resolve the SAFE/LLC structure flags simultaneously.</w:t>
      </w:r>
    </w:p>
    <w:p>
      <w:pPr>
        <w:spacing w:after="0" w:before="0"/>
      </w:pPr>
      <w:r>
        <w:t xml:space="preserve"/>
      </w:r>
    </w:p>
    <w:p>
      <w:pPr>
        <w:spacing w:after="60" w:before="200"/>
      </w:pPr>
      <w:r>
        <w:rPr>
          <w:rFonts w:ascii="Arial" w:cs="Arial" w:eastAsia="Arial" w:hAnsi="Arial"/>
          <w:b/>
          <w:bCs/>
          <w:color w:val="1F3864"/>
          <w:sz w:val="22"/>
          <w:szCs w:val="22"/>
        </w:rPr>
        <w:t xml:space="preserve">Dealum Action Required (Manual — MCP Not Active)</w:t>
      </w:r>
    </w:p>
    <w:p>
      <w:pPr>
        <w:spacing w:after="60" w:before="60"/>
      </w:pPr>
      <w:r>
        <w:rPr>
          <w:rFonts w:ascii="Arial" w:cs="Arial" w:eastAsia="Arial" w:hAnsi="Arial"/>
          <w:b w:val="false"/>
          <w:bCs w:val="false"/>
          <w:color w:val="000000"/>
          <w:sz w:val="20"/>
          <w:szCs w:val="20"/>
        </w:rPr>
        <w:t xml:space="preserve">Move Synergist Technology to 'Diligence' step in Dealum and add tag 'TechGroup-Diligence'. This confirms the deal has passed Scout review and entered the structured DD process.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4"/>
      </w:pBdr>
      <w:tabs>
        <w:tab w:val="right" w:pos="9026"/>
      </w:tabs>
    </w:pPr>
    <w:r>
      <w:rPr>
        <w:rFonts w:ascii="Arial" w:cs="Arial" w:eastAsia="Arial" w:hAnsi="Arial"/>
        <w:color w:val="888888"/>
        <w:sz w:val="16"/>
        <w:szCs w:val="16"/>
      </w:rPr>
      <w:t xml:space="preserve">NWAi Investment Intelligence — Confidential</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tabs>
        <w:tab w:val="right" w:pos="9026"/>
      </w:tabs>
    </w:pPr>
    <w:r>
      <w:rPr>
        <w:rFonts w:ascii="Arial" w:cs="Arial" w:eastAsia="Arial" w:hAnsi="Arial"/>
        <w:color w:val="1F3864"/>
        <w:sz w:val="18"/>
        <w:szCs w:val="18"/>
      </w:rPr>
      <w:t xml:space="preserve">NWAi TechGroup — DD Kickoff Package  |  Synergist Technology</w:t>
    </w:r>
    <w:r>
      <w:rPr>
        <w:rFonts w:ascii="Arial" w:cs="Arial" w:eastAsia="Arial" w:hAnsi="Arial"/>
        <w:color w:val="888888"/>
        <w:sz w:val="18"/>
        <w:szCs w:val="18"/>
      </w:rPr>
      <w:t xml:space="preserve">	March 16,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60"/>
      </w:pPr>
    </w:lvl>
  </w:abstractNum>
  <w:abstractNum w:abstractNumId="3" w15:restartNumberingAfterBreak="0">
    <w:multiLevelType w:val="hybridMultilevel"/>
    <w:lvl w:ilvl="0" w15:tentative="1">
      <w:start w:val="1"/>
      <w:numFmt w:val="decimal"/>
      <w:lvlText w:val="%1."/>
      <w:lvlJc w:val="left"/>
      <w:pPr>
        <w:ind w:left="640" w:hanging="360"/>
      </w:pPr>
    </w:lvl>
  </w:abstractNum>
  <w:abstractNum w:abstractNumId="4" w15:restartNumberingAfterBreak="0">
    <w:multiLevelType w:val="hybridMultilevel"/>
    <w:lvl w:ilvl="0" w15:tentative="1">
      <w:start w:val="1"/>
      <w:numFmt w:val="decimal"/>
      <w:lvlText w:val="%1."/>
      <w:lvlJc w:val="left"/>
      <w:pPr>
        <w:ind w:left="640" w:hanging="360"/>
      </w:pPr>
    </w:lvl>
  </w:abstractNum>
  <w:abstractNum w:abstractNumId="5" w15:restartNumberingAfterBreak="0">
    <w:multiLevelType w:val="hybridMultilevel"/>
    <w:lvl w:ilvl="0" w15:tentative="1">
      <w:start w:val="1"/>
      <w:numFmt w:val="decimal"/>
      <w:lvlText w:val="%1."/>
      <w:lvlJc w:val="left"/>
      <w:pPr>
        <w:ind w:left="640" w:hanging="360"/>
      </w:pPr>
    </w:lvl>
  </w:abstractNum>
  <w:abstractNum w:abstractNumId="6" w15:restartNumberingAfterBreak="0">
    <w:multiLevelType w:val="hybridMultilevel"/>
    <w:lvl w:ilvl="0" w15:tentative="1">
      <w:start w:val="1"/>
      <w:numFmt w:val="decimal"/>
      <w:lvlText w:val="%1."/>
      <w:lvlJc w:val="left"/>
      <w:pPr>
        <w:ind w:left="6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2026-03-16T21:32:56.709Z</dcterms:created>
  <dcterms:modified xsi:type="dcterms:W3CDTF">2026-03-16T21:32:56.709Z</dcterms:modified>
</cp:coreProperties>
</file>

<file path=docProps/custom.xml><?xml version="1.0" encoding="utf-8"?>
<Properties xmlns="http://schemas.openxmlformats.org/officeDocument/2006/custom-properties" xmlns:vt="http://schemas.openxmlformats.org/officeDocument/2006/docPropsVTypes"/>
</file>