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sz w:val="2"/>
          <w:szCs w:val="2"/>
        </w:rPr>
        <w:t xml:space="preserve"/>
      </w:r>
    </w:p>
    <w:p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SYNERGIST TECHNOLOGY</w:t>
      </w:r>
    </w:p>
    <w:p>
      <w:pPr>
        <w:spacing w:after="80" w:before="4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NWAi TechGroup Scout Assessment  |  AFFIRM AI Governance Platform  |  CEO: Brad Levine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80"/>
        <w:gridCol w:w="318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ADVANCE TO DILIGENCE</w:t>
            </w:r>
          </w:p>
        </w:tc>
        <w:tc>
          <w:tcPr>
            <w:tcW w:type="dxa" w:w="2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Theme 4: Data Sovereignty, Security, Trust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Scout Date: March 16, 2026</w:t>
            </w:r>
          </w:p>
        </w:tc>
      </w:tr>
    </w:tbl>
    <w:p>
      <w:pPr>
        <w:spacing w:after="8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TRIAGE CARRY-FORWARD  (Screened 2026-03-16)</w:t>
            </w:r>
          </w:p>
        </w:tc>
      </w:tr>
    </w:tbl>
    <w:p>
      <w:pPr>
        <w:spacing w:after="40" w:before="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Opportunity Score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19 / 25 — STRONG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Readiness Score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 / 20 — MODERATE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Hard Gates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Foreign Entity/IP — MET  |  ✅ Market Size — MET  |  ✅ Commercialization Path — MET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AI Wrapper Rating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LOW-MODERATE — AFFIRM monitors other AI systems rather than being a thin AI app; moat relies on evaluator library depth, regulatory framework integration, and MSP distribution — not foundational model IP.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Prior Red Flags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LLC Structure (carry into Scout — hard NWAi criterion; conversion to C-Corp required before close)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Prior Yellow Flags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SAFE II structure  |  ⚠️ Below-floor pricing  |  ⚠️ No lead investor  |  ⚠️ Open-source LLMaJ backbone</w:t>
            </w:r>
          </w:p>
        </w:tc>
      </w:tr>
    </w:tbl>
    <w:p>
      <w:pPr>
        <w:spacing w:after="100" w:before="1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SCOUT SUMMARY</w:t>
            </w:r>
          </w:p>
        </w:tc>
      </w:tr>
    </w:tbl>
    <w:p>
      <w:pPr>
        <w:spacing w:after="40" w:before="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What They Do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governance and monitoring PaaS (AFFIRM) providing continuous compliance, security, drift detection, and audit reporting for enterprise AI systems — sold through MSP distributors (CDW, Carahsoft) and direct federal channels.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Verdict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ADVANCE TO DILIGENCE — serial compliance operator with CDW anchor, real customers, and federal contract moat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Conviction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Brad Levine's 4-exit compliance software track record combined with mandatory AI governance regulation hitting in 2026 across federal and enterprise markets is the right founder at the right moment — the CDW/Carahsoft government distribution moat and exceptional advisory board (Vice Admiral Buck, Lt. Gen. Moore) are genuine differentiators that reinforce this.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Top Risk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CDW concentration — the entire 2026 revenue model (~$1.5M) depends on CDW activating its 400-person salesforce; if CDW prioritizes other products or the ramp stalls, there is no fallback channel at scale.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Theme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Theme 4 — Data Sovereignty, Security, Trust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Lead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TBD — Pending Dealum API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SMEs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TBD — Pending Dealum API</w:t>
            </w:r>
          </w:p>
        </w:tc>
      </w:tr>
    </w:tbl>
    <w:p>
      <w:pPr>
        <w:spacing w:after="100" w:before="1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FLAGS  (Carried from Triage + New from Pitch)</w:t>
            </w:r>
          </w:p>
        </w:tc>
      </w:tr>
    </w:tbl>
    <w:p>
      <w:pPr>
        <w:spacing w:after="40" w:before="40"/>
      </w:pPr>
      <w:r>
        <w:rPr>
          <w:sz w:val="2"/>
          <w:szCs w:val="2"/>
        </w:rPr>
        <w:t xml:space="preserve"/>
      </w:r>
    </w:p>
    <w:p>
      <w:pPr>
        <w:shd w:fill="FCE4D6" w:val="clear"/>
        <w:spacing w:after="50" w:before="50"/>
      </w:pPr>
      <w:r>
        <w:rPr>
          <w:rFonts w:ascii="Arial" w:cs="Arial" w:eastAsia="Arial" w:hAnsi="Arial"/>
          <w:color w:val="C00000"/>
          <w:sz w:val="19"/>
          <w:szCs w:val="19"/>
        </w:rPr>
        <w:t xml:space="preserve">❌  LLC Structure: Synergist Technology is organized as an LLC with Membership Units — NWAi investment criteria requires C-Corp structure only. No conversion plan or timeline stated in the deck. This is a hard stop; must be resolved before any investment can close. (Carried from Triage — ❌ RED FLAG)</w:t>
      </w:r>
    </w:p>
    <w:p>
      <w:pPr>
        <w:spacing w:after="30" w:before="30"/>
      </w:pPr>
      <w:r>
        <w:rPr>
          <w:sz w:val="2"/>
          <w:szCs w:val="2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⚠️  SAFE II Deal Structure: NWAi requires equity or convertible note. Brad Levine acknowledged this at the pitch and offered 'we will not do a SAFE with you' — convertible note terms must be confirmed in writing before advancing.</w:t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⚠️  Below-Floor Pricing: Q1 2026 gross revenue is $24,375 across 5 customers, implying avg ~$4,875/customer/month — below the stated $7,500/month floor. Discounting policy, PoC-to-paid conversion path, and current ARR need clarification. (Carried from Triage)</w:t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⚠️  No Lead Investor: No institutional lead identified for the SAFE II round. NWAi rarely leads. This must be resolved before or concurrent with any NWAi participation. (Carried from Triage)</w:t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⚠️  Open-Source Evaluation Backbone: LLMaJ is open-source; Microsoft, IBM, and ServiceNow can access it on the same terms. Proprietary moat depends on evaluator library depth and distribution partnerships. (Carried from Triage)</w:t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⚠️  Founder Exit Timeline: Brad Levine explicitly stated intent to exit post-Series A (~2 years). Succession plan and CTO/technical co-founder not identified in materials.</w:t>
      </w:r>
    </w:p>
    <w:p>
      <w:pPr>
        <w:spacing w:after="50" w:before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⚠️  CDW Concentration: 2026 revenue model is heavily CDW-dependent. The $10-15M CDW projection for 2026 is a stated target, not a signed contract — verification by reference call is required.</w:t>
      </w:r>
    </w:p>
    <w:p>
      <w:pPr>
        <w:spacing w:after="100" w:before="1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1: VIABILITY</w:t>
            </w:r>
          </w:p>
        </w:tc>
      </w:tr>
    </w:tbl>
    <w:p>
      <w:pPr>
        <w:spacing w:after="40" w:before="40"/>
      </w:pPr>
      <w:r>
        <w:rPr>
          <w:sz w:val="2"/>
          <w:szCs w:val="2"/>
        </w:rP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BIG IDEA</w:t>
      </w:r>
      <w:r>
        <w:rPr>
          <w:rFonts w:ascii="Arial" w:cs="Arial" w:eastAsia="Arial" w:hAnsi="Arial"/>
          <w:b/>
          <w:bCs/>
          <w:color w:val="1A5C1A"/>
          <w:sz w:val="21"/>
          <w:szCs w:val="21"/>
        </w:rPr>
        <w:t xml:space="preserve">   BIG IDEA ✓</w:t>
      </w:r>
    </w:p>
    <w:p>
      <w:pPr>
        <w:spacing w:after="6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Synergist rides the structural discontinuity of enterprise AI transitioning from experimental tooling to regulated critical infrastructure — the same mandate-driven shift that created the cybersecurity compliance market ($25B+) is now forming for AI, and it is irreversible. AI adoption is at 75%+ enterprise penetration in 2026 while formal standards (NIST AI RMF, EU AI Act, OMB 25-21, EO 14179) are still consolidating, creating a 2-3 year window to become the default AI governance layer before platform giants or regulators commoditize the category. This is not incremental improvement on existing GRC tools — it is a new mandatory audit category forming in real time, analogous to SOC 2 attestation but for AI behavior.</w:t>
      </w:r>
    </w:p>
    <w:p>
      <w:pPr>
        <w:spacing w:after="60" w:before="60"/>
      </w:pPr>
      <w:r>
        <w:rPr>
          <w:sz w:val="2"/>
          <w:szCs w:val="2"/>
        </w:rP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MARKET</w:t>
      </w:r>
      <w:r>
        <w:rPr>
          <w:rFonts w:ascii="Arial" w:cs="Arial" w:eastAsia="Arial" w:hAnsi="Arial"/>
          <w:b/>
          <w:bCs/>
          <w:color w:val="1A5C1A"/>
          <w:sz w:val="21"/>
          <w:szCs w:val="21"/>
        </w:rPr>
        <w:t xml:space="preserve">   LARGE (&gt;$1B TAM) ✓</w:t>
      </w:r>
    </w:p>
    <w:p>
      <w:pPr>
        <w:spacing w:after="6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TAM: $15B+ global AI governance/GRC/monitoring market, growing to $30-40B by 2029 at 30-40% CAGR driven by regulatory mandate (not discretionary spend) | SAM: ~$5B US enterprise + federal | 5yr capture: $50-200M ARR realistic if CDW channel ramp materializes. Gartner validates $492M AI governance in 2026 growing to $1B+ by 2030; broader AI GRC adjacency ($23B+ GRC software market) supports venture-scale outcomes. Market trajectory is driven by regulatory inevitability — every enterprise deploying AI will need audit-grade evidence of compliance, making this a must-buy category rather than a nice-to-have. TAM credibly supports 10x+ return on a $33.5M post-money SAFE II cap.</w:t>
      </w:r>
    </w:p>
    <w:p>
      <w:pPr>
        <w:spacing w:after="60" w:before="60"/>
      </w:pPr>
      <w:r>
        <w:rPr>
          <w:sz w:val="2"/>
          <w:szCs w:val="2"/>
        </w:rP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MOAT</w:t>
      </w: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   DEVELOPING ⚠</w:t>
      </w:r>
    </w:p>
    <w:p>
      <w:pPr>
        <w:spacing w:after="60" w:before="4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Primary moat is Vertical &amp; Workflow (Moat 3): the three-legged stool of monitoring platform + GRC framework mapping + MSP operational workflow is architecturally designed around how MSPs make money — the $2.50:$1.00 professional services ratio, ServiceNow ticketing integration, and branded distribution model create switching costs beyond the evaluation technology. A secondary Cognitive/Data moat (Moat 1) is forming: each customer's historical AI health trend data (hallucination baselines, risk score trajectories, drift patterns) accumulates over time and cannot be ported to a competitor. FedRAMP High certification (~$1M cost, 6-12 month process) is a real capital barrier for federal entrants. Key weakness: core evaluator methods (LLMaJ, TFIDF, TokenOverlap) are largely open-source and Microsoft/IBM/ServiceNow can access them on equal terms — the normalization engine, regulatory framework integration layer, and MSP workflow toolkit are the true proprietary elements and must be stress-tested in diligence.</w:t>
      </w:r>
    </w:p>
    <w:p>
      <w:pPr>
        <w:spacing w:after="100" w:before="1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2: EXECUTION</w:t>
            </w:r>
          </w:p>
        </w:tc>
      </w:tr>
    </w:tbl>
    <w:p>
      <w:pPr>
        <w:spacing w:after="40" w:before="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ADEQUATE → STRONG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— Brad Levine (CEO): 30 years compliance domain, 4 exits all $50-100M (most recent: Telus Healthcare), directly relevant pattern-match; advisory board is genuinely exceptional: Vice Admiral Sean Buck (Navy/DOD), Lt. Gen Rick Moore (USAF), Anil Cheriyan (PWC/IBM), Vishal Amin (Microsoft/Bush Center), Tim Clyde (CACI/L3T). Gap: CTO/technical co-founder not identified in any materials. Founder succession plan absent. Brad Levine stated explicit intent to exit post-Series 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Technology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TRL 7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— Production system deployed (Tampa General live, CDW PoC in production). Not a thin wrapper: proprietary orchestration layer, normalization engine, MSP workflow toolkit via ServiceNow, GRC framework mapping (NIST AI RMF, FedRAMP, OMB 25-21, EU AI Act). Core evaluator methods are open-source. AI Wrapper Rating: LOW-MODERATE (carried from Triage). Biggest replication risk: a well-funded competitor could build the same normalization + MSP workflow layer in 12-18 months if they secured equivalent distribution.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Traction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EARLY — REAL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— Tampa General Hospital (named enterprise customer; started with 5-6 AI assets, expanded to 73 in 3 weeks, adding 10-15/quarter — strong expansion signal); CDW PoC active (1 CDW end customer onboarded; CDW projects $10-15M in Synergist revenue for 2026 — verifiable by reference call); Carasoft: 3 active SKUs + federal contract vehicles (Army ITES-SW2, GSA MAS, NASA SEWP x2, DoE ICPT via CDWG, GSA Schedule 70 GWAC). Q1 2026 actual gross revenue: $24,375 across 5 customers (avg ~$4,875/customer — ⚠️ below $7,500 floor; discounting policy unclear).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GTM / Path to $10M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CHANNEL-FIRST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— CDW ($26B, 400 salespeople, 10,000 customers) as anchor MSP, then +1-2 new MSPs/quarter; federal path through Carasoft contract vehicles. CAC: near-zero (CDW sells; Synergist earns $7.5K-$52.5K/month per end customer). Key milestone to $10M ARR: CDW activating 15 customers/month at avg $10K/month = $1.8M ARR/month run-rate, per CDW's own stated targets. LTV is very high: expanding AI asset counts per customer + historical compliance data lock-in. Series A planned Q4 2026 at $50M pre-money.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10x: STRETCH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— Microsoft (Azure/Purview — already a partner; AI governance complements M365 enterprise stack) | ServiceNow (ITSM overlap; AI governance workflows are a natural platform extension) | Palo Alto Networks (security + compliance convergence; AI governance extends XDR/SASE portfolio). Hold: 2-3 years. 10x requires ~$335M exit on $33.5M SAFE II cap — plausible if CDW ramp materializes; not guaranteed at current traction.</w:t>
            </w:r>
          </w:p>
        </w:tc>
      </w:tr>
    </w:tbl>
    <w:p>
      <w:pPr>
        <w:spacing w:after="100" w:before="1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</w:tbl>
    <w:p>
      <w:pPr>
        <w:spacing w:after="40" w:before="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7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ONE-SENTENCE VERDICT: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Brad Levine — four-exit serial compliance operator — has embedded himself inside the world's largest MSP distribution network and federal contract vehicles at precisely the moment AI governance becomes a mandatory enterprise audit requirement, but LLC structure, below-floor pricing, and founder exit planning mid-raise must be resolved before capital deploys.</w:t>
            </w:r>
          </w:p>
          <w:p>
            <w:pPr>
              <w:spacing w:after="7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VERDICT:  </w:t>
            </w:r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ADVANCE TO DILIGENCE</w:t>
            </w:r>
          </w:p>
          <w:p>
            <w:pPr>
              <w:spacing w:after="7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combination of a genuinely mandatory new compliance category, a channel distribution moat (CDW + Carahsoft federal), a serial operator with directly relevant exit pattern, and a real expanding enterprise customer (Tampa General) collectively meet the threshold for diligence despite structural flags that can be remediated.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SINGLE BIGGEST RISK: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CDW channel dependency — if CDW does not activate its salesforce at the projected rate, the entire 2026 revenue thesis collapses and there is no alternative distribution channel at scale.</w:t>
            </w:r>
          </w:p>
        </w:tc>
      </w:tr>
    </w:tbl>
    <w:p>
      <w:pPr>
        <w:spacing w:after="8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TARGETED DILIGENCE QUESTIONS FOR LEAD SME</w:t>
            </w:r>
          </w:p>
        </w:tc>
      </w:tr>
    </w:tbl>
    <w:p>
      <w:pPr>
        <w:spacing w:after="40" w:before="4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CDW VERIFICATION (make-or-break): Request a direct reference call with CDW's program lead to confirm the $10-15M 2026 revenue projection, activation timeline, and current SKU status — if CDW does not confirm this, the revenue model is speculative.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LLC-TO-C-CORP CONVERSION: What is the timeline and counsel plan for converting Synergist Technology, LLC to a C-Corp before the Series A close? Has legal work been initiated? NWAi requires C-Corp; this is a hard stop, not a preference.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BELOW-FLOOR PRICING EXPLANATION: Q1 2026 gross revenue is $24,375 across 5 customers — avg ~$4,875/month against a $7,500 floor. Are these discounted pilots or PoCs? What is the current ARR, and when does the CDW PoC convert to a full paid contract?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TECHNICAL IP BOUNDARY: Walk us through exactly which evaluator components are proprietary vs. open-source — what does the normalization engine do that a competitor cannot replicate from open-source LLMaJ and TFIDF implementations in 6 months?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FOUNDER SUCCESSION: Brad Levine explicitly stated intent to exit post-Series A (~2 years from raise) — who is the intended next CEO, and is there a named CTO or technical co-founder who would carry the product through scale?</w:t>
      </w:r>
    </w:p>
    <w:p>
      <w:pPr>
        <w:spacing w:after="8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DEALUM STEP TO UPDATE: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Scout/IntroCall</w:t>
            </w: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     TAG TO ADD: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Theme-DataSovereigntySecurityTrust</w:t>
            </w: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     NEXT ACTION: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/diligence Synergist Technology</w:t>
            </w:r>
          </w:p>
        </w:tc>
      </w:tr>
    </w:tbl>
    <w:p>
      <w:pPr>
        <w:spacing w:after="40" w:before="40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404040"/>
        <w:sz w:val="16"/>
        <w:szCs w:val="16"/>
      </w:rPr>
      <w:t xml:space="preserve">NWAi Investment Intelligence — Confidential</w:t>
    </w:r>
    <w:r>
      <w:rPr>
        <w:rFonts w:ascii="Arial" w:cs="Arial" w:eastAsia="Arial" w:hAnsi="Arial"/>
        <w:color w:val="404040"/>
        <w:sz w:val="16"/>
        <w:szCs w:val="16"/>
      </w:rPr>
      <w:t xml:space="preserve">	Page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NWAi TechGroup — Scout Assessment Report</w:t>
    </w:r>
    <w:r>
      <w:rPr>
        <w:rFonts w:ascii="Arial" w:cs="Arial" w:eastAsia="Arial" w:hAnsi="Arial"/>
        <w:color w:val="404040"/>
        <w:sz w:val="18"/>
        <w:szCs w:val="18"/>
      </w:rPr>
      <w:t xml:space="preserve">	March 16,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2026-03-16T21:05:43.459Z</dcterms:created>
  <dcterms:modified xsi:type="dcterms:W3CDTF">2026-03-16T21:05:43.459Z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