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DF41" w14:textId="1F30634F" w:rsidR="007742CC" w:rsidRPr="00D11E5F" w:rsidRDefault="00AB1EB6">
      <w:pPr>
        <w:rPr>
          <w:b/>
        </w:rPr>
      </w:pPr>
      <w:r w:rsidRPr="00D11E5F">
        <w:rPr>
          <w:b/>
        </w:rPr>
        <w:t>Methods</w:t>
      </w:r>
    </w:p>
    <w:p w14:paraId="1E5E85E6" w14:textId="3C7287D7" w:rsidR="00AB1EB6" w:rsidRDefault="00AB1EB6"/>
    <w:p w14:paraId="72FEEB81" w14:textId="0F9D0C67" w:rsidR="00C22CA9" w:rsidRPr="00424A4D" w:rsidRDefault="00E66A27" w:rsidP="00C22CA9">
      <w:pPr>
        <w:rPr>
          <w:b/>
        </w:rPr>
      </w:pPr>
      <w:r w:rsidRPr="00424A4D">
        <w:rPr>
          <w:b/>
        </w:rPr>
        <w:t>S</w:t>
      </w:r>
      <w:r w:rsidR="00C22CA9" w:rsidRPr="00424A4D">
        <w:rPr>
          <w:b/>
        </w:rPr>
        <w:t>ubjects</w:t>
      </w:r>
      <w:r w:rsidRPr="00424A4D">
        <w:rPr>
          <w:b/>
        </w:rPr>
        <w:t>, w</w:t>
      </w:r>
      <w:r w:rsidRPr="00424A4D">
        <w:rPr>
          <w:b/>
        </w:rPr>
        <w:t xml:space="preserve">hole genome sequencing and </w:t>
      </w:r>
      <w:r w:rsidRPr="00424A4D">
        <w:rPr>
          <w:b/>
          <w:i/>
        </w:rPr>
        <w:t>de novo</w:t>
      </w:r>
      <w:r w:rsidRPr="00424A4D">
        <w:rPr>
          <w:b/>
        </w:rPr>
        <w:t xml:space="preserve"> variant calling</w:t>
      </w:r>
    </w:p>
    <w:p w14:paraId="10D21501" w14:textId="4F379904" w:rsidR="00C22CA9" w:rsidRDefault="00C22CA9" w:rsidP="00C22CA9">
      <w:pPr>
        <w:ind w:firstLine="720"/>
      </w:pPr>
      <w:r>
        <w:t xml:space="preserve">Patients and parents </w:t>
      </w:r>
      <w:r w:rsidR="00B0211F">
        <w:t>(</w:t>
      </w:r>
      <w:r w:rsidR="00B0211F" w:rsidRPr="00B0211F">
        <w:rPr>
          <w:i/>
        </w:rPr>
        <w:t>i.e.</w:t>
      </w:r>
      <w:r w:rsidR="00B0211F">
        <w:t xml:space="preserve">, trios) </w:t>
      </w:r>
      <w:r>
        <w:t>were enrolled in the Pediatric Cardiac Genomics Consortium (PCGC)</w:t>
      </w:r>
      <w:r>
        <w:t xml:space="preserve"> </w:t>
      </w:r>
      <w:r>
        <w:t>Congenital Heart Disease Network Study (CHD GENES: ClinicalTrials.gov identifier NCT01196182).</w:t>
      </w:r>
      <w:r w:rsidR="00E66A27">
        <w:fldChar w:fldCharType="begin" w:fldLock="1"/>
      </w:r>
      <w:r w:rsidR="00D47C8E">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1&lt;/sup&gt;","plainTextFormattedCitation":"1","previouslyFormattedCitation":"&lt;sup&gt;1&lt;/sup&gt;"},"properties":{"noteIndex":0},"schema":"https://github.com/citation-style-language/schema/raw/master/csl-citation.json"}</w:instrText>
      </w:r>
      <w:r w:rsidR="00E66A27">
        <w:fldChar w:fldCharType="separate"/>
      </w:r>
      <w:r w:rsidR="00E66A27" w:rsidRPr="00E66A27">
        <w:rPr>
          <w:noProof/>
          <w:vertAlign w:val="superscript"/>
        </w:rPr>
        <w:t>1</w:t>
      </w:r>
      <w:r w:rsidR="00E66A27">
        <w:fldChar w:fldCharType="end"/>
      </w:r>
      <w:r>
        <w:t xml:space="preserve"> The protocols were approved by the Institutional Review Boards of Boston’s Children’s Hospital, Brigham and Women’s Hospital, Children’s Hospital of Los Angeles, Children’s Hospital of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7B123AF2" w14:textId="2FBA99D7" w:rsidR="00F83463" w:rsidRDefault="00F83463" w:rsidP="00C22CA9">
      <w:pPr>
        <w:ind w:firstLine="720"/>
      </w:pPr>
      <w:r w:rsidRPr="00AC6379">
        <w:rPr>
          <w:i/>
          <w:u w:val="single"/>
        </w:rPr>
        <w:t>Pacific Biosciences (PacBio) long-read sequencing:</w:t>
      </w:r>
      <w:r>
        <w:t xml:space="preserve"> DNAs of 10 PCGC patients were sequenced with PacBio long-read sequencing</w:t>
      </w:r>
      <w:r w:rsidR="00AC2491">
        <w:t xml:space="preserve"> to a depth of 5x.</w:t>
      </w:r>
    </w:p>
    <w:p w14:paraId="3309C2EB" w14:textId="691C36A9" w:rsidR="00C22CA9" w:rsidRDefault="00424A4D" w:rsidP="00DD306F">
      <w:pPr>
        <w:ind w:firstLine="720"/>
      </w:pPr>
      <w:r w:rsidRPr="00424A4D">
        <w:rPr>
          <w:i/>
          <w:u w:val="single"/>
        </w:rPr>
        <w:t>Illumina short-read sequencing:</w:t>
      </w:r>
      <w:r>
        <w:t xml:space="preserve"> </w:t>
      </w:r>
      <w:r w:rsidR="00C22CA9" w:rsidRPr="00C22CA9">
        <w:t xml:space="preserve">DNAs of PCGC samples </w:t>
      </w:r>
      <w:r w:rsidR="00DE047E">
        <w:t xml:space="preserve">underwent short-read sequencing </w:t>
      </w:r>
      <w:r w:rsidR="00C22CA9" w:rsidRPr="00C22CA9">
        <w:t>at the Baylor College of Medicine Genomic and RNA Profiling Core (n=</w:t>
      </w:r>
      <w:r>
        <w:t>XXX</w:t>
      </w:r>
      <w:r w:rsidR="00C22CA9" w:rsidRPr="00C22CA9">
        <w:t>), the New York Genome Center (NYGC) Genomic Research Services (n=</w:t>
      </w:r>
      <w:r>
        <w:t>XXX</w:t>
      </w:r>
      <w:r w:rsidR="00C22CA9" w:rsidRPr="00C22CA9">
        <w:t>), and the Broad Institute for Genomic Services (n=</w:t>
      </w:r>
      <w:r>
        <w:t>X</w:t>
      </w:r>
      <w:r w:rsidR="00B200E8">
        <w:t>X</w:t>
      </w:r>
      <w:r>
        <w:t>X</w:t>
      </w:r>
      <w:r w:rsidR="00C22CA9" w:rsidRPr="00C22CA9">
        <w:t>) following the same protocol. Genomic DNAs from venous blood or saliva were prepared for sequencing using a PCR-free library preparation. All samples were sequenced on an Illumina Hi-</w:t>
      </w:r>
      <w:proofErr w:type="spellStart"/>
      <w:r w:rsidR="00C22CA9" w:rsidRPr="00C22CA9">
        <w:t>Seq</w:t>
      </w:r>
      <w:proofErr w:type="spellEnd"/>
      <w:r w:rsidR="00C22CA9" w:rsidRPr="00C22CA9">
        <w:t xml:space="preserve"> X Ten with 150-bp paired reads to a median depth &gt; 30x per individual. </w:t>
      </w:r>
      <w:r w:rsidR="003F2329">
        <w:t xml:space="preserve">Alignment, variant calling, and </w:t>
      </w:r>
      <w:r w:rsidR="003F2329" w:rsidRPr="003F2329">
        <w:rPr>
          <w:i/>
        </w:rPr>
        <w:t>de novo</w:t>
      </w:r>
      <w:r w:rsidR="003F2329">
        <w:t xml:space="preserve"> </w:t>
      </w:r>
      <w:r w:rsidR="00FE62BB">
        <w:t>identification</w:t>
      </w:r>
      <w:r w:rsidR="003F2329">
        <w:t xml:space="preserve"> were performed as described previously (cite WGS paper).</w:t>
      </w:r>
    </w:p>
    <w:p w14:paraId="48EE00C8" w14:textId="77777777" w:rsidR="008F6772" w:rsidRDefault="008F6772"/>
    <w:p w14:paraId="584D4151" w14:textId="5C3C55ED" w:rsidR="00AB1EB6" w:rsidRDefault="00AB1EB6">
      <w:r w:rsidRPr="00DD306F">
        <w:rPr>
          <w:b/>
        </w:rPr>
        <w:t>Phasing</w:t>
      </w:r>
    </w:p>
    <w:p w14:paraId="46DF8878" w14:textId="73140F8A" w:rsidR="0096078F" w:rsidRDefault="00B7001A" w:rsidP="00EA0EA8">
      <w:pPr>
        <w:ind w:firstLine="720"/>
      </w:pPr>
      <w:proofErr w:type="spellStart"/>
      <w:r>
        <w:t>Whatshap</w:t>
      </w:r>
      <w:proofErr w:type="spellEnd"/>
      <w:r>
        <w:t xml:space="preserve"> (0.16) was used to phase </w:t>
      </w:r>
      <w:r w:rsidR="00DD306F">
        <w:t>DNVs</w:t>
      </w:r>
      <w:r w:rsidR="00305435">
        <w:t xml:space="preserve"> through read-back phasing</w:t>
      </w:r>
      <w:r w:rsidR="00DD306F">
        <w:t>.</w:t>
      </w:r>
      <w:r w:rsidR="001D5F05">
        <w:fldChar w:fldCharType="begin" w:fldLock="1"/>
      </w:r>
      <w:r w:rsidR="001D5F05">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2&lt;/sup&gt;","plainTextFormattedCitation":"2"},"properties":{"noteIndex":0},"schema":"https://github.com/citation-style-language/schema/raw/master/csl-citation.json"}</w:instrText>
      </w:r>
      <w:r w:rsidR="001D5F05">
        <w:fldChar w:fldCharType="separate"/>
      </w:r>
      <w:r w:rsidR="001D5F05" w:rsidRPr="001D5F05">
        <w:rPr>
          <w:noProof/>
          <w:vertAlign w:val="superscript"/>
        </w:rPr>
        <w:t>2</w:t>
      </w:r>
      <w:r w:rsidR="001D5F05">
        <w:fldChar w:fldCharType="end"/>
      </w:r>
      <w:r w:rsidR="00E851CD">
        <w:t xml:space="preserve"> </w:t>
      </w:r>
      <w:r w:rsidR="00305435">
        <w:t>Inputs were either the short- and long-read alignment files, the trio VCF generated from Illumina short-read sequencing. Indels were used for short- but not long-read phasing (</w:t>
      </w:r>
      <w:r w:rsidR="00305435" w:rsidRPr="00305435">
        <w:rPr>
          <w:i/>
        </w:rPr>
        <w:t>i.e.</w:t>
      </w:r>
      <w:r w:rsidR="00305435">
        <w:t xml:space="preserve">, did not use </w:t>
      </w:r>
      <w:proofErr w:type="spellStart"/>
      <w:r w:rsidR="00305435">
        <w:t>whatshap</w:t>
      </w:r>
      <w:proofErr w:type="spellEnd"/>
      <w:r w:rsidR="00305435">
        <w:t xml:space="preserve"> --indel flag for PacBio data). The output</w:t>
      </w:r>
      <w:r w:rsidR="0096078F">
        <w:t xml:space="preserve"> was a phased</w:t>
      </w:r>
      <w:r w:rsidR="00305435">
        <w:t xml:space="preserve"> VC</w:t>
      </w:r>
      <w:r w:rsidR="0096078F">
        <w:t>F, with the full trio and the proband’s variants phased</w:t>
      </w:r>
      <w:r w:rsidR="00305435">
        <w:t>.</w:t>
      </w:r>
    </w:p>
    <w:p w14:paraId="11B94562" w14:textId="5DB2CC65" w:rsidR="00DD306F" w:rsidRDefault="00BF1E38" w:rsidP="00EA0EA8">
      <w:pPr>
        <w:ind w:firstLine="720"/>
      </w:pPr>
      <w:r>
        <w:t>Following phasing, DNVs were programmatically assigned to the parent</w:t>
      </w:r>
      <w:r w:rsidR="000A6C02">
        <w:t xml:space="preserve"> </w:t>
      </w:r>
      <w:r>
        <w:t>of</w:t>
      </w:r>
      <w:r w:rsidR="000A6C02">
        <w:t xml:space="preserve"> </w:t>
      </w:r>
      <w:r>
        <w:t>origin.</w:t>
      </w:r>
      <w:r w:rsidR="0096078F">
        <w:t xml:space="preserve"> </w:t>
      </w:r>
      <w:proofErr w:type="spellStart"/>
      <w:r w:rsidR="0096078F">
        <w:t>Whasthap</w:t>
      </w:r>
      <w:proofErr w:type="spellEnd"/>
      <w:r w:rsidR="0096078F">
        <w:t xml:space="preserve"> was used to generate a GTF from the </w:t>
      </w:r>
      <w:r w:rsidR="00D43A31">
        <w:t>phased VCF, where the GTF genomic coordinates represented haplotype blocks of contiguously phased variants.</w:t>
      </w:r>
      <w:r w:rsidR="00E76C80">
        <w:t xml:space="preserve"> DNVs were assigned to a parent of origin if ≥85% of informative variants in (</w:t>
      </w:r>
      <w:r w:rsidR="00E76C80" w:rsidRPr="00E76C80">
        <w:rPr>
          <w:i/>
        </w:rPr>
        <w:t>i.e.</w:t>
      </w:r>
      <w:r w:rsidR="00E76C80">
        <w:t>, variants in a haplotype block) were assigned to that parent.</w:t>
      </w:r>
    </w:p>
    <w:p w14:paraId="58170139" w14:textId="0596DD33" w:rsidR="00C07FA6" w:rsidRPr="005920F7" w:rsidRDefault="00E76C80" w:rsidP="00C07FA6">
      <w:pPr>
        <w:ind w:firstLine="720"/>
      </w:pPr>
      <w:r>
        <w:t xml:space="preserve">For PacBio data, </w:t>
      </w:r>
      <w:r w:rsidR="004B6E9F" w:rsidRPr="004B6E9F">
        <w:rPr>
          <w:i/>
        </w:rPr>
        <w:t>de novo</w:t>
      </w:r>
      <w:r w:rsidR="004B6E9F">
        <w:t xml:space="preserve"> </w:t>
      </w:r>
      <w:r w:rsidR="00025DBE">
        <w:t xml:space="preserve">indels were phased manually with the </w:t>
      </w:r>
      <w:r w:rsidR="00AB5B69">
        <w:t>I</w:t>
      </w:r>
      <w:r w:rsidR="00025DBE">
        <w:t>ntegrat</w:t>
      </w:r>
      <w:r w:rsidR="00AB5B69">
        <w:t>ive</w:t>
      </w:r>
      <w:r w:rsidR="00025DBE">
        <w:t xml:space="preserve"> </w:t>
      </w:r>
      <w:r w:rsidR="00AB5B69">
        <w:t>G</w:t>
      </w:r>
      <w:r w:rsidR="00025DBE">
        <w:t xml:space="preserve">enomics </w:t>
      </w:r>
      <w:r w:rsidR="00AB5B69">
        <w:t>V</w:t>
      </w:r>
      <w:r w:rsidR="00025DBE">
        <w:t>iewer (IGV).</w:t>
      </w:r>
      <w:r w:rsidR="00D47C8E">
        <w:fldChar w:fldCharType="begin" w:fldLock="1"/>
      </w:r>
      <w:r w:rsidR="001D5F05">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3&lt;/sup&gt;","plainTextFormattedCitation":"3","previouslyFormattedCitation":"&lt;sup&gt;2&lt;/sup&gt;"},"properties":{"noteIndex":0},"schema":"https://github.com/citation-style-language/schema/raw/master/csl-citation.json"}</w:instrText>
      </w:r>
      <w:r w:rsidR="00D47C8E">
        <w:fldChar w:fldCharType="separate"/>
      </w:r>
      <w:r w:rsidR="001D5F05" w:rsidRPr="001D5F05">
        <w:rPr>
          <w:noProof/>
          <w:vertAlign w:val="superscript"/>
        </w:rPr>
        <w:t>3</w:t>
      </w:r>
      <w:r w:rsidR="00D47C8E">
        <w:fldChar w:fldCharType="end"/>
      </w:r>
      <w:r w:rsidR="00025DBE">
        <w:t xml:space="preserve"> </w:t>
      </w:r>
      <w:r w:rsidR="004B6E9F">
        <w:t xml:space="preserve">For each </w:t>
      </w:r>
      <w:r w:rsidR="004B6E9F" w:rsidRPr="004B6E9F">
        <w:rPr>
          <w:i/>
        </w:rPr>
        <w:t>de novo</w:t>
      </w:r>
      <w:r w:rsidR="004B6E9F">
        <w:t xml:space="preserve"> indel</w:t>
      </w:r>
      <w:r w:rsidR="005757EC">
        <w:t>, we identified the 2-5 highest confidence reads (with Reference/Alternative alleles)</w:t>
      </w:r>
      <w:r w:rsidR="000766AA">
        <w:t xml:space="preserve">. These reads were highlighted with IGV and we identified inherited single nucleotide variants (SNVs) on the </w:t>
      </w:r>
      <w:r w:rsidR="00132FF6">
        <w:t xml:space="preserve">informative </w:t>
      </w:r>
      <w:r w:rsidR="000766AA">
        <w:t>read</w:t>
      </w:r>
      <w:r w:rsidR="00132FF6">
        <w:t>s</w:t>
      </w:r>
      <w:r w:rsidR="000766AA">
        <w:t xml:space="preserve">. </w:t>
      </w:r>
      <w:r w:rsidR="005920F7">
        <w:t xml:space="preserve">We then assigned the </w:t>
      </w:r>
      <w:r w:rsidR="005920F7">
        <w:rPr>
          <w:i/>
        </w:rPr>
        <w:t xml:space="preserve">de novo </w:t>
      </w:r>
      <w:r w:rsidR="005920F7">
        <w:t xml:space="preserve">indel to the parent of origin </w:t>
      </w:r>
      <w:r w:rsidR="00132FF6">
        <w:t>if all SNVs on the informative reads were in agreement.</w:t>
      </w:r>
      <w:r w:rsidR="00C91CE6">
        <w:t xml:space="preserve"> We validated this heuristic approach with the </w:t>
      </w:r>
      <w:r w:rsidR="00AB203A" w:rsidRPr="00AB203A">
        <w:rPr>
          <w:i/>
        </w:rPr>
        <w:t>de novo</w:t>
      </w:r>
      <w:r w:rsidR="00AB203A">
        <w:t xml:space="preserve"> indels phased using Illumina short-read sequencing.</w:t>
      </w:r>
      <w:r w:rsidR="00AD0A60">
        <w:t xml:space="preserve"> IGV plots used for </w:t>
      </w:r>
      <w:r w:rsidR="00AD0A60" w:rsidRPr="00AD0A60">
        <w:rPr>
          <w:i/>
        </w:rPr>
        <w:t>de novo</w:t>
      </w:r>
      <w:r w:rsidR="00AD0A60">
        <w:t xml:space="preserve"> indel phasing are provided in the code repository (see </w:t>
      </w:r>
      <w:r w:rsidR="00AD0A60" w:rsidRPr="00972871">
        <w:rPr>
          <w:b/>
        </w:rPr>
        <w:t>URLs</w:t>
      </w:r>
      <w:r w:rsidR="00AD0A60">
        <w:t>)</w:t>
      </w:r>
      <w:r w:rsidR="00972871">
        <w:t>.</w:t>
      </w:r>
    </w:p>
    <w:p w14:paraId="010FB247" w14:textId="6682C1F6" w:rsidR="00AB1EB6" w:rsidRDefault="00AB1EB6" w:rsidP="005C52C3"/>
    <w:p w14:paraId="4157E5BD" w14:textId="1441154D" w:rsidR="005C52C3" w:rsidRDefault="005C52C3" w:rsidP="005C52C3">
      <w:r>
        <w:t>Replicating Iceland Results</w:t>
      </w:r>
    </w:p>
    <w:p w14:paraId="1FDADF80" w14:textId="3A7442EB" w:rsidR="005C52C3" w:rsidRDefault="005C52C3" w:rsidP="005C52C3">
      <w:pPr>
        <w:pStyle w:val="ListParagraph"/>
        <w:numPr>
          <w:ilvl w:val="0"/>
          <w:numId w:val="1"/>
        </w:numPr>
      </w:pPr>
      <w:r>
        <w:t xml:space="preserve">Used Ref and Alt columns of </w:t>
      </w:r>
      <w:proofErr w:type="spellStart"/>
      <w:r>
        <w:t>dataframe</w:t>
      </w:r>
      <w:proofErr w:type="spellEnd"/>
      <w:r>
        <w:t xml:space="preserve"> to classify SNPs into mutational classes (C &gt; A,</w:t>
      </w:r>
    </w:p>
    <w:p w14:paraId="41514BC3" w14:textId="63E08969" w:rsidR="005C52C3" w:rsidRDefault="005C52C3" w:rsidP="005C52C3">
      <w:pPr>
        <w:pStyle w:val="ListParagraph"/>
      </w:pPr>
      <w:r>
        <w:lastRenderedPageBreak/>
        <w:t xml:space="preserve">C &gt; T, C &gt; G, T &gt; A, T &gt; C, CpG &gt; </w:t>
      </w:r>
      <w:proofErr w:type="spellStart"/>
      <w:r>
        <w:t>TpG</w:t>
      </w:r>
      <w:proofErr w:type="spellEnd"/>
      <w:r>
        <w:t>) and included indels as their own mutational class</w:t>
      </w:r>
    </w:p>
    <w:p w14:paraId="38046E17" w14:textId="19FC38EF" w:rsidR="005C52C3" w:rsidRDefault="005C52C3" w:rsidP="005C52C3">
      <w:pPr>
        <w:pStyle w:val="ListParagraph"/>
        <w:numPr>
          <w:ilvl w:val="0"/>
          <w:numId w:val="1"/>
        </w:numPr>
      </w:pPr>
      <w:r>
        <w:t xml:space="preserve">In order to get CpG &gt; </w:t>
      </w:r>
      <w:proofErr w:type="spellStart"/>
      <w:r>
        <w:t>TpG</w:t>
      </w:r>
      <w:proofErr w:type="spellEnd"/>
      <w:r>
        <w:t xml:space="preserve"> mutations:</w:t>
      </w:r>
    </w:p>
    <w:p w14:paraId="7C20E2E4" w14:textId="0B74166A" w:rsidR="005C52C3" w:rsidRDefault="005C52C3" w:rsidP="005C52C3">
      <w:pPr>
        <w:pStyle w:val="ListParagraph"/>
        <w:numPr>
          <w:ilvl w:val="1"/>
          <w:numId w:val="1"/>
        </w:numPr>
      </w:pPr>
      <w:r>
        <w:t xml:space="preserve">Used </w:t>
      </w:r>
      <w:proofErr w:type="spellStart"/>
      <w:r>
        <w:t>bedtools</w:t>
      </w:r>
      <w:proofErr w:type="spellEnd"/>
      <w:r>
        <w:t xml:space="preserve"> </w:t>
      </w:r>
      <w:proofErr w:type="spellStart"/>
      <w:r>
        <w:t>getfasta</w:t>
      </w:r>
      <w:proofErr w:type="spellEnd"/>
      <w:r>
        <w:t xml:space="preserve"> with hg38 reference file to get the single nucleotides on either side of the SNP and marked every SNP that was a C adjacent to a G, or a G adjacent to a C as CpG</w:t>
      </w:r>
    </w:p>
    <w:p w14:paraId="7F8C88E4" w14:textId="28EFC38F" w:rsidR="005C52C3" w:rsidRDefault="005C52C3" w:rsidP="005C52C3">
      <w:pPr>
        <w:pStyle w:val="ListParagraph"/>
        <w:numPr>
          <w:ilvl w:val="1"/>
          <w:numId w:val="1"/>
        </w:numPr>
      </w:pPr>
      <w:r>
        <w:t xml:space="preserve">The </w:t>
      </w:r>
      <w:r>
        <w:rPr>
          <w:i/>
        </w:rPr>
        <w:t>de novo</w:t>
      </w:r>
      <w:r>
        <w:t xml:space="preserve"> variants that were annotated as being in CpG regions and were C &gt; T mutations classified as CpG &gt; </w:t>
      </w:r>
      <w:proofErr w:type="spellStart"/>
      <w:r>
        <w:t>TpG</w:t>
      </w:r>
      <w:bookmarkStart w:id="0" w:name="_GoBack"/>
      <w:bookmarkEnd w:id="0"/>
      <w:proofErr w:type="spellEnd"/>
      <w:r>
        <w:t xml:space="preserve">, the </w:t>
      </w:r>
      <w:r>
        <w:rPr>
          <w:i/>
        </w:rPr>
        <w:t>de novo</w:t>
      </w:r>
      <w:r>
        <w:t xml:space="preserve"> variants that were C &gt; T but were not in CpG regions were classified as C &gt; T (no overlap between the two)</w:t>
      </w:r>
    </w:p>
    <w:p w14:paraId="112E1C05" w14:textId="5EA78B35" w:rsidR="005C52C3" w:rsidRDefault="005C52C3" w:rsidP="005C52C3">
      <w:pPr>
        <w:pStyle w:val="ListParagraph"/>
        <w:numPr>
          <w:ilvl w:val="0"/>
          <w:numId w:val="1"/>
        </w:numPr>
      </w:pPr>
      <w:r>
        <w:t xml:space="preserve">Calculated the fraction of phased </w:t>
      </w:r>
      <w:r>
        <w:rPr>
          <w:i/>
        </w:rPr>
        <w:t xml:space="preserve">de novo </w:t>
      </w:r>
      <w:r>
        <w:t>variants that were components of each mutational class and created bar chart to compare those assigned to mother versus father as parent of origin for each class</w:t>
      </w:r>
    </w:p>
    <w:p w14:paraId="5C94643E" w14:textId="5447D407" w:rsidR="005C52C3" w:rsidRDefault="005C52C3" w:rsidP="005C52C3">
      <w:pPr>
        <w:pStyle w:val="ListParagraph"/>
        <w:numPr>
          <w:ilvl w:val="0"/>
          <w:numId w:val="1"/>
        </w:numPr>
      </w:pPr>
      <w:r>
        <w:t>Plotted these fractions for each proband against the age of the mother and age of the father to look for associations with parental age</w:t>
      </w:r>
    </w:p>
    <w:p w14:paraId="629DEF40" w14:textId="38DD55DB" w:rsidR="005C52C3" w:rsidRDefault="005C52C3" w:rsidP="005C52C3"/>
    <w:p w14:paraId="1E338D73" w14:textId="771CFD6C" w:rsidR="005C52C3" w:rsidRDefault="005C52C3" w:rsidP="005C52C3">
      <w:r>
        <w:t>Classifying Indels</w:t>
      </w:r>
    </w:p>
    <w:p w14:paraId="2E3309D4" w14:textId="6EF8B592" w:rsidR="00C222E9" w:rsidRDefault="00C222E9" w:rsidP="00C222E9">
      <w:pPr>
        <w:pStyle w:val="ListParagraph"/>
        <w:numPr>
          <w:ilvl w:val="0"/>
          <w:numId w:val="1"/>
        </w:numPr>
      </w:pPr>
      <w:r>
        <w:t>Developed Python package to automate this process</w:t>
      </w:r>
    </w:p>
    <w:p w14:paraId="565AA217" w14:textId="383462CD" w:rsidR="00C222E9" w:rsidRDefault="00C222E9" w:rsidP="00C222E9">
      <w:pPr>
        <w:pStyle w:val="ListParagraph"/>
        <w:numPr>
          <w:ilvl w:val="1"/>
          <w:numId w:val="1"/>
        </w:numPr>
      </w:pPr>
      <w:r>
        <w:t xml:space="preserve">Named </w:t>
      </w:r>
      <w:proofErr w:type="spellStart"/>
      <w:r>
        <w:t>sorting_hat</w:t>
      </w:r>
      <w:proofErr w:type="spellEnd"/>
    </w:p>
    <w:p w14:paraId="2E12880A" w14:textId="2125AC86" w:rsidR="005C52C3" w:rsidRDefault="005C52C3" w:rsidP="005C52C3">
      <w:pPr>
        <w:pStyle w:val="ListParagraph"/>
        <w:numPr>
          <w:ilvl w:val="0"/>
          <w:numId w:val="1"/>
        </w:numPr>
      </w:pPr>
      <w:r>
        <w:t>Three classes: HR, CCC, non-CCC</w:t>
      </w:r>
    </w:p>
    <w:p w14:paraId="3D585012" w14:textId="7FA81079" w:rsidR="005C52C3" w:rsidRDefault="005C52C3" w:rsidP="005C52C3">
      <w:pPr>
        <w:pStyle w:val="ListParagraph"/>
        <w:numPr>
          <w:ilvl w:val="1"/>
          <w:numId w:val="1"/>
        </w:numPr>
      </w:pPr>
      <w:r>
        <w:t>HR: homopolymer run (mutation is in a region where there are 6 or more copies of the nucleotide being inserted or deleted)</w:t>
      </w:r>
    </w:p>
    <w:p w14:paraId="6D8CF381" w14:textId="1F445A06" w:rsidR="005C52C3" w:rsidRDefault="005C52C3" w:rsidP="005C52C3">
      <w:pPr>
        <w:pStyle w:val="ListParagraph"/>
        <w:numPr>
          <w:ilvl w:val="1"/>
          <w:numId w:val="1"/>
        </w:numPr>
      </w:pPr>
      <w:r>
        <w:t>CCC: change in copy count (the sequence being inserted or deleted has 1 or more repeats in the mutation region)</w:t>
      </w:r>
    </w:p>
    <w:p w14:paraId="1C3E5540" w14:textId="3AC38936" w:rsidR="005C52C3" w:rsidRDefault="005C52C3" w:rsidP="005C52C3">
      <w:pPr>
        <w:pStyle w:val="ListParagraph"/>
        <w:numPr>
          <w:ilvl w:val="1"/>
          <w:numId w:val="1"/>
        </w:numPr>
      </w:pPr>
      <w:r>
        <w:t>non-CCC: no change in copy count (the sequence being inserted or deleted is not repeated in the mutation region)</w:t>
      </w:r>
    </w:p>
    <w:p w14:paraId="7A73AB4A" w14:textId="28CE1AB5" w:rsidR="005C52C3" w:rsidRDefault="00D1343A" w:rsidP="005C52C3">
      <w:pPr>
        <w:pStyle w:val="ListParagraph"/>
        <w:numPr>
          <w:ilvl w:val="0"/>
          <w:numId w:val="1"/>
        </w:numPr>
      </w:pPr>
      <w:r>
        <w:t xml:space="preserve">Used </w:t>
      </w:r>
      <w:proofErr w:type="spellStart"/>
      <w:r>
        <w:t>bedtools</w:t>
      </w:r>
      <w:proofErr w:type="spellEnd"/>
      <w:r>
        <w:t xml:space="preserve"> </w:t>
      </w:r>
      <w:proofErr w:type="spellStart"/>
      <w:r>
        <w:t>getfasta</w:t>
      </w:r>
      <w:proofErr w:type="spellEnd"/>
      <w:r>
        <w:t xml:space="preserve"> to get bases surrounding the indel</w:t>
      </w:r>
    </w:p>
    <w:p w14:paraId="05E3678D" w14:textId="40D51D8E" w:rsidR="00D1343A" w:rsidRDefault="00D1343A" w:rsidP="00D1343A">
      <w:pPr>
        <w:pStyle w:val="ListParagraph"/>
        <w:numPr>
          <w:ilvl w:val="1"/>
          <w:numId w:val="1"/>
        </w:numPr>
      </w:pPr>
      <w:r>
        <w:t>If the indel was a single nucleotide, collected 6 bases on either side of the indel</w:t>
      </w:r>
    </w:p>
    <w:p w14:paraId="69061F2E" w14:textId="2FE40113" w:rsidR="00D1343A" w:rsidRDefault="00D1343A" w:rsidP="00D1343A">
      <w:pPr>
        <w:pStyle w:val="ListParagraph"/>
        <w:numPr>
          <w:ilvl w:val="1"/>
          <w:numId w:val="1"/>
        </w:numPr>
      </w:pPr>
      <w:r>
        <w:t>If the indel was a sequence of 2 or more bases, collected 2*length of sequence bases on either side of the indel</w:t>
      </w:r>
    </w:p>
    <w:p w14:paraId="5909F690" w14:textId="63CCF541" w:rsidR="00D1343A" w:rsidRDefault="00D1343A" w:rsidP="00D1343A">
      <w:pPr>
        <w:pStyle w:val="ListParagraph"/>
        <w:numPr>
          <w:ilvl w:val="0"/>
          <w:numId w:val="1"/>
        </w:numPr>
      </w:pPr>
      <w:r>
        <w:t>Compared indel sequence to adjacent sequence of equal length</w:t>
      </w:r>
    </w:p>
    <w:p w14:paraId="48E99FCC" w14:textId="61D02B26" w:rsidR="00D1343A" w:rsidRDefault="00D1343A" w:rsidP="00D1343A">
      <w:pPr>
        <w:pStyle w:val="ListParagraph"/>
        <w:numPr>
          <w:ilvl w:val="1"/>
          <w:numId w:val="1"/>
        </w:numPr>
      </w:pPr>
      <w:r>
        <w:t>If the indel sequence and adjacent sequence were the same:</w:t>
      </w:r>
    </w:p>
    <w:p w14:paraId="0A1434D6" w14:textId="7DE832F9" w:rsidR="00D1343A" w:rsidRDefault="00D1343A" w:rsidP="00D1343A">
      <w:pPr>
        <w:pStyle w:val="ListParagraph"/>
        <w:numPr>
          <w:ilvl w:val="2"/>
          <w:numId w:val="1"/>
        </w:numPr>
      </w:pPr>
      <w:r>
        <w:t>If the indel sequence was a single nucleotide, checked for 6 adjacent copies to see if it was HR</w:t>
      </w:r>
    </w:p>
    <w:p w14:paraId="4FF86DC6" w14:textId="3E81C30D" w:rsidR="00D1343A" w:rsidRDefault="00D1343A" w:rsidP="00D1343A">
      <w:pPr>
        <w:pStyle w:val="ListParagraph"/>
        <w:numPr>
          <w:ilvl w:val="2"/>
          <w:numId w:val="1"/>
        </w:numPr>
      </w:pPr>
      <w:r>
        <w:t>Otherwise, assigned as CCC</w:t>
      </w:r>
    </w:p>
    <w:p w14:paraId="13249434" w14:textId="2805B7F6" w:rsidR="00D1343A" w:rsidRDefault="00D1343A" w:rsidP="00D1343A">
      <w:pPr>
        <w:pStyle w:val="ListParagraph"/>
        <w:numPr>
          <w:ilvl w:val="1"/>
          <w:numId w:val="1"/>
        </w:numPr>
      </w:pPr>
      <w:r>
        <w:t>If the indel sequence and adjacent sequence were not the same, assigned as non-CCC</w:t>
      </w:r>
    </w:p>
    <w:p w14:paraId="7E6F19C7" w14:textId="7D3DEC0E" w:rsidR="00D1343A" w:rsidRDefault="00D1343A" w:rsidP="00D1343A">
      <w:pPr>
        <w:pStyle w:val="ListParagraph"/>
        <w:numPr>
          <w:ilvl w:val="0"/>
          <w:numId w:val="1"/>
        </w:numPr>
      </w:pPr>
      <w:r>
        <w:t xml:space="preserve">Downloaded </w:t>
      </w:r>
      <w:proofErr w:type="spellStart"/>
      <w:r>
        <w:t>RepeatMasker</w:t>
      </w:r>
      <w:proofErr w:type="spellEnd"/>
      <w:r>
        <w:t xml:space="preserve"> from UCSC Genome Browser to obtain repeat name, repeat class, and family if the indel was in a repeat region</w:t>
      </w:r>
    </w:p>
    <w:p w14:paraId="4B95CF12" w14:textId="2A78AFA7" w:rsidR="0052132B" w:rsidRDefault="0052132B" w:rsidP="0052132B"/>
    <w:p w14:paraId="72F771DB" w14:textId="19D7D6BF" w:rsidR="0052132B" w:rsidRDefault="0052132B" w:rsidP="0052132B"/>
    <w:p w14:paraId="08561E5A" w14:textId="43DDABF1" w:rsidR="0052132B" w:rsidRPr="00203553" w:rsidRDefault="00203553" w:rsidP="0052132B">
      <w:pPr>
        <w:rPr>
          <w:b/>
        </w:rPr>
      </w:pPr>
      <w:r>
        <w:rPr>
          <w:b/>
        </w:rPr>
        <w:t>URLS</w:t>
      </w:r>
    </w:p>
    <w:p w14:paraId="5B4067B6" w14:textId="1160AFA3" w:rsidR="0052132B" w:rsidRDefault="00B61A5A" w:rsidP="0052132B">
      <w:r>
        <w:t>Code</w:t>
      </w:r>
      <w:r w:rsidR="0052132B">
        <w:t xml:space="preserve">: </w:t>
      </w:r>
      <w:hyperlink r:id="rId6" w:history="1">
        <w:r w:rsidR="00A43DE4" w:rsidRPr="000A0C72">
          <w:rPr>
            <w:rStyle w:val="Hyperlink"/>
          </w:rPr>
          <w:t>https://github.com/allisonseiden/longreadclustersequencing/</w:t>
        </w:r>
      </w:hyperlink>
    </w:p>
    <w:p w14:paraId="0B9C7FBE" w14:textId="241BED19" w:rsidR="00A43DE4" w:rsidRDefault="00A43DE4" w:rsidP="0052132B"/>
    <w:p w14:paraId="5E638E54" w14:textId="78353C77" w:rsidR="00C93C18" w:rsidRDefault="00E85D45" w:rsidP="0052132B">
      <w:pPr>
        <w:rPr>
          <w:b/>
        </w:rPr>
      </w:pPr>
      <w:r>
        <w:rPr>
          <w:b/>
        </w:rPr>
        <w:t>References</w:t>
      </w:r>
    </w:p>
    <w:p w14:paraId="2C82FD10" w14:textId="77777777" w:rsidR="00F9043A" w:rsidRPr="00F9043A" w:rsidRDefault="00F9043A" w:rsidP="0052132B">
      <w:pPr>
        <w:rPr>
          <w:b/>
        </w:rPr>
      </w:pPr>
    </w:p>
    <w:p w14:paraId="7292CC1E" w14:textId="28B03A4D" w:rsidR="001D5F05" w:rsidRPr="001D5F05" w:rsidRDefault="00F9043A" w:rsidP="001D5F05">
      <w:pPr>
        <w:widowControl w:val="0"/>
        <w:autoSpaceDE w:val="0"/>
        <w:autoSpaceDN w:val="0"/>
        <w:adjustRightInd w:val="0"/>
        <w:ind w:left="640" w:hanging="640"/>
        <w:rPr>
          <w:rFonts w:ascii="Calibri" w:hAnsi="Calibri" w:cs="Calibri"/>
          <w:noProof/>
        </w:rPr>
      </w:pPr>
      <w:r>
        <w:lastRenderedPageBreak/>
        <w:fldChar w:fldCharType="begin" w:fldLock="1"/>
      </w:r>
      <w:r>
        <w:instrText xml:space="preserve">ADDIN Mendeley Bibliography CSL_BIBLIOGRAPHY </w:instrText>
      </w:r>
      <w:r>
        <w:fldChar w:fldCharType="separate"/>
      </w:r>
      <w:r w:rsidR="001D5F05" w:rsidRPr="001D5F05">
        <w:rPr>
          <w:rFonts w:ascii="Calibri" w:hAnsi="Calibri" w:cs="Calibri"/>
          <w:noProof/>
        </w:rPr>
        <w:t>1.</w:t>
      </w:r>
      <w:r w:rsidR="001D5F05" w:rsidRPr="001D5F05">
        <w:rPr>
          <w:rFonts w:ascii="Calibri" w:hAnsi="Calibri" w:cs="Calibri"/>
          <w:noProof/>
        </w:rPr>
        <w:tab/>
        <w:t xml:space="preserve">Gelb, B. </w:t>
      </w:r>
      <w:r w:rsidR="001D5F05" w:rsidRPr="001D5F05">
        <w:rPr>
          <w:rFonts w:ascii="Calibri" w:hAnsi="Calibri" w:cs="Calibri"/>
          <w:i/>
          <w:iCs/>
          <w:noProof/>
        </w:rPr>
        <w:t>et al.</w:t>
      </w:r>
      <w:r w:rsidR="001D5F05" w:rsidRPr="001D5F05">
        <w:rPr>
          <w:rFonts w:ascii="Calibri" w:hAnsi="Calibri" w:cs="Calibri"/>
          <w:noProof/>
        </w:rPr>
        <w:t xml:space="preserve"> The Congenital Heart Disease Genetic Network Study: rationale, design, and early results. </w:t>
      </w:r>
      <w:r w:rsidR="001D5F05" w:rsidRPr="001D5F05">
        <w:rPr>
          <w:rFonts w:ascii="Calibri" w:hAnsi="Calibri" w:cs="Calibri"/>
          <w:i/>
          <w:iCs/>
          <w:noProof/>
        </w:rPr>
        <w:t>Circ. Res.</w:t>
      </w:r>
      <w:r w:rsidR="001D5F05" w:rsidRPr="001D5F05">
        <w:rPr>
          <w:rFonts w:ascii="Calibri" w:hAnsi="Calibri" w:cs="Calibri"/>
          <w:noProof/>
        </w:rPr>
        <w:t xml:space="preserve"> </w:t>
      </w:r>
      <w:r w:rsidR="001D5F05" w:rsidRPr="001D5F05">
        <w:rPr>
          <w:rFonts w:ascii="Calibri" w:hAnsi="Calibri" w:cs="Calibri"/>
          <w:b/>
          <w:bCs/>
          <w:noProof/>
        </w:rPr>
        <w:t>112,</w:t>
      </w:r>
      <w:r w:rsidR="001D5F05" w:rsidRPr="001D5F05">
        <w:rPr>
          <w:rFonts w:ascii="Calibri" w:hAnsi="Calibri" w:cs="Calibri"/>
          <w:noProof/>
        </w:rPr>
        <w:t xml:space="preserve"> 698–706 (2013).</w:t>
      </w:r>
    </w:p>
    <w:p w14:paraId="04AD908A" w14:textId="77777777" w:rsidR="001D5F05" w:rsidRPr="001D5F05" w:rsidRDefault="001D5F05" w:rsidP="001D5F05">
      <w:pPr>
        <w:widowControl w:val="0"/>
        <w:autoSpaceDE w:val="0"/>
        <w:autoSpaceDN w:val="0"/>
        <w:adjustRightInd w:val="0"/>
        <w:ind w:left="640" w:hanging="640"/>
        <w:rPr>
          <w:rFonts w:ascii="Calibri" w:hAnsi="Calibri" w:cs="Calibri"/>
          <w:noProof/>
        </w:rPr>
      </w:pPr>
      <w:r w:rsidRPr="001D5F05">
        <w:rPr>
          <w:rFonts w:ascii="Calibri" w:hAnsi="Calibri" w:cs="Calibri"/>
          <w:noProof/>
        </w:rPr>
        <w:t>2.</w:t>
      </w:r>
      <w:r w:rsidRPr="001D5F05">
        <w:rPr>
          <w:rFonts w:ascii="Calibri" w:hAnsi="Calibri" w:cs="Calibri"/>
          <w:noProof/>
        </w:rPr>
        <w:tab/>
        <w:t xml:space="preserve">Martin, M. </w:t>
      </w:r>
      <w:r w:rsidRPr="001D5F05">
        <w:rPr>
          <w:rFonts w:ascii="Calibri" w:hAnsi="Calibri" w:cs="Calibri"/>
          <w:i/>
          <w:iCs/>
          <w:noProof/>
        </w:rPr>
        <w:t>et al.</w:t>
      </w:r>
      <w:r w:rsidRPr="001D5F05">
        <w:rPr>
          <w:rFonts w:ascii="Calibri" w:hAnsi="Calibri" w:cs="Calibri"/>
          <w:noProof/>
        </w:rPr>
        <w:t xml:space="preserve"> WhatsHap: fast and accurate read-based phasing. </w:t>
      </w:r>
      <w:r w:rsidRPr="001D5F05">
        <w:rPr>
          <w:rFonts w:ascii="Calibri" w:hAnsi="Calibri" w:cs="Calibri"/>
          <w:i/>
          <w:iCs/>
          <w:noProof/>
        </w:rPr>
        <w:t>bioRxiv</w:t>
      </w:r>
      <w:r w:rsidRPr="001D5F05">
        <w:rPr>
          <w:rFonts w:ascii="Calibri" w:hAnsi="Calibri" w:cs="Calibri"/>
          <w:noProof/>
        </w:rPr>
        <w:t xml:space="preserve"> 085050 (2016). doi:10.1101/085050</w:t>
      </w:r>
    </w:p>
    <w:p w14:paraId="118EB881" w14:textId="77777777" w:rsidR="001D5F05" w:rsidRPr="001D5F05" w:rsidRDefault="001D5F05" w:rsidP="001D5F05">
      <w:pPr>
        <w:widowControl w:val="0"/>
        <w:autoSpaceDE w:val="0"/>
        <w:autoSpaceDN w:val="0"/>
        <w:adjustRightInd w:val="0"/>
        <w:ind w:left="640" w:hanging="640"/>
        <w:rPr>
          <w:rFonts w:ascii="Calibri" w:hAnsi="Calibri" w:cs="Calibri"/>
          <w:noProof/>
        </w:rPr>
      </w:pPr>
      <w:r w:rsidRPr="001D5F05">
        <w:rPr>
          <w:rFonts w:ascii="Calibri" w:hAnsi="Calibri" w:cs="Calibri"/>
          <w:noProof/>
        </w:rPr>
        <w:t>3.</w:t>
      </w:r>
      <w:r w:rsidRPr="001D5F05">
        <w:rPr>
          <w:rFonts w:ascii="Calibri" w:hAnsi="Calibri" w:cs="Calibri"/>
          <w:noProof/>
        </w:rPr>
        <w:tab/>
        <w:t xml:space="preserve">Robinson, J. T. </w:t>
      </w:r>
      <w:r w:rsidRPr="001D5F05">
        <w:rPr>
          <w:rFonts w:ascii="Calibri" w:hAnsi="Calibri" w:cs="Calibri"/>
          <w:i/>
          <w:iCs/>
          <w:noProof/>
        </w:rPr>
        <w:t>et al.</w:t>
      </w:r>
      <w:r w:rsidRPr="001D5F05">
        <w:rPr>
          <w:rFonts w:ascii="Calibri" w:hAnsi="Calibri" w:cs="Calibri"/>
          <w:noProof/>
        </w:rPr>
        <w:t xml:space="preserve"> Integrative genomics viewer. </w:t>
      </w:r>
      <w:r w:rsidRPr="001D5F05">
        <w:rPr>
          <w:rFonts w:ascii="Calibri" w:hAnsi="Calibri" w:cs="Calibri"/>
          <w:i/>
          <w:iCs/>
          <w:noProof/>
        </w:rPr>
        <w:t>Nat. Biotechnol.</w:t>
      </w:r>
      <w:r w:rsidRPr="001D5F05">
        <w:rPr>
          <w:rFonts w:ascii="Calibri" w:hAnsi="Calibri" w:cs="Calibri"/>
          <w:noProof/>
        </w:rPr>
        <w:t xml:space="preserve"> </w:t>
      </w:r>
      <w:r w:rsidRPr="001D5F05">
        <w:rPr>
          <w:rFonts w:ascii="Calibri" w:hAnsi="Calibri" w:cs="Calibri"/>
          <w:b/>
          <w:bCs/>
          <w:noProof/>
        </w:rPr>
        <w:t>29,</w:t>
      </w:r>
      <w:r w:rsidRPr="001D5F05">
        <w:rPr>
          <w:rFonts w:ascii="Calibri" w:hAnsi="Calibri" w:cs="Calibri"/>
          <w:noProof/>
        </w:rPr>
        <w:t xml:space="preserve"> 24–6 (2011).</w:t>
      </w:r>
    </w:p>
    <w:p w14:paraId="4AE4011B" w14:textId="304B76DB" w:rsidR="00C93C18" w:rsidRDefault="00F9043A" w:rsidP="001D5F05">
      <w:pPr>
        <w:widowControl w:val="0"/>
        <w:autoSpaceDE w:val="0"/>
        <w:autoSpaceDN w:val="0"/>
        <w:adjustRightInd w:val="0"/>
        <w:ind w:left="640" w:hanging="640"/>
      </w:pPr>
      <w:r>
        <w:fldChar w:fldCharType="end"/>
      </w:r>
    </w:p>
    <w:p w14:paraId="6DB110E4" w14:textId="77777777" w:rsidR="00A43DE4" w:rsidRDefault="00A43DE4" w:rsidP="0052132B"/>
    <w:sectPr w:rsidR="00A43DE4" w:rsidSect="003B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B635F"/>
    <w:multiLevelType w:val="hybridMultilevel"/>
    <w:tmpl w:val="63F41C62"/>
    <w:lvl w:ilvl="0" w:tplc="EB969A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6"/>
    <w:rsid w:val="00025DBE"/>
    <w:rsid w:val="000766AA"/>
    <w:rsid w:val="0009760F"/>
    <w:rsid w:val="000A6C02"/>
    <w:rsid w:val="000E5014"/>
    <w:rsid w:val="00132FF6"/>
    <w:rsid w:val="001C3CF9"/>
    <w:rsid w:val="001D5F05"/>
    <w:rsid w:val="00203553"/>
    <w:rsid w:val="00236913"/>
    <w:rsid w:val="00277855"/>
    <w:rsid w:val="00305435"/>
    <w:rsid w:val="00316764"/>
    <w:rsid w:val="00371D04"/>
    <w:rsid w:val="00374224"/>
    <w:rsid w:val="003B00B2"/>
    <w:rsid w:val="003D1618"/>
    <w:rsid w:val="003F2329"/>
    <w:rsid w:val="00424A4D"/>
    <w:rsid w:val="00457765"/>
    <w:rsid w:val="004B6E9F"/>
    <w:rsid w:val="004E6469"/>
    <w:rsid w:val="0052132B"/>
    <w:rsid w:val="005757EC"/>
    <w:rsid w:val="005920F7"/>
    <w:rsid w:val="005C52C3"/>
    <w:rsid w:val="007742CC"/>
    <w:rsid w:val="00786289"/>
    <w:rsid w:val="00831E9F"/>
    <w:rsid w:val="00841287"/>
    <w:rsid w:val="0085031A"/>
    <w:rsid w:val="008F6772"/>
    <w:rsid w:val="0096078F"/>
    <w:rsid w:val="00972871"/>
    <w:rsid w:val="00A43DE4"/>
    <w:rsid w:val="00A95D53"/>
    <w:rsid w:val="00AB1EB6"/>
    <w:rsid w:val="00AB203A"/>
    <w:rsid w:val="00AB5B69"/>
    <w:rsid w:val="00AC2491"/>
    <w:rsid w:val="00AC6379"/>
    <w:rsid w:val="00AD0A60"/>
    <w:rsid w:val="00B0211F"/>
    <w:rsid w:val="00B200E8"/>
    <w:rsid w:val="00B55E4B"/>
    <w:rsid w:val="00B61A5A"/>
    <w:rsid w:val="00B7001A"/>
    <w:rsid w:val="00BC443E"/>
    <w:rsid w:val="00BF1E38"/>
    <w:rsid w:val="00C07FA6"/>
    <w:rsid w:val="00C222E9"/>
    <w:rsid w:val="00C22CA9"/>
    <w:rsid w:val="00C91CE6"/>
    <w:rsid w:val="00C93C18"/>
    <w:rsid w:val="00D11E5F"/>
    <w:rsid w:val="00D1343A"/>
    <w:rsid w:val="00D43A31"/>
    <w:rsid w:val="00D47C8E"/>
    <w:rsid w:val="00DD306F"/>
    <w:rsid w:val="00DE047E"/>
    <w:rsid w:val="00E66A27"/>
    <w:rsid w:val="00E76C80"/>
    <w:rsid w:val="00E851CD"/>
    <w:rsid w:val="00E85D45"/>
    <w:rsid w:val="00EA0EA8"/>
    <w:rsid w:val="00F83463"/>
    <w:rsid w:val="00F9043A"/>
    <w:rsid w:val="00FE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DA1D"/>
  <w15:chartTrackingRefBased/>
  <w15:docId w15:val="{A73D18F3-D857-F444-A036-3C52BF0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B6"/>
    <w:pPr>
      <w:ind w:left="720"/>
      <w:contextualSpacing/>
    </w:pPr>
  </w:style>
  <w:style w:type="character" w:styleId="Hyperlink">
    <w:name w:val="Hyperlink"/>
    <w:basedOn w:val="DefaultParagraphFont"/>
    <w:uiPriority w:val="99"/>
    <w:unhideWhenUsed/>
    <w:rsid w:val="00A43DE4"/>
    <w:rPr>
      <w:color w:val="0563C1" w:themeColor="hyperlink"/>
      <w:u w:val="single"/>
    </w:rPr>
  </w:style>
  <w:style w:type="character" w:styleId="UnresolvedMention">
    <w:name w:val="Unresolved Mention"/>
    <w:basedOn w:val="DefaultParagraphFont"/>
    <w:uiPriority w:val="99"/>
    <w:semiHidden/>
    <w:unhideWhenUsed/>
    <w:rsid w:val="00A4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lisonseiden/longreadclustersequenc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6EE7-0662-AE46-92A0-215A2EC2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60</cp:revision>
  <dcterms:created xsi:type="dcterms:W3CDTF">2018-08-10T14:47:00Z</dcterms:created>
  <dcterms:modified xsi:type="dcterms:W3CDTF">2018-11-30T20:54:00Z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e5345d0b-83d6-3da6-aeb9-791eb46ac061</vt:lpwstr>
  </property>
  <property fmtid="{D5CDD505-2E9C-101B-9397-08002B2CF9AE}" pid="4" name="Mendeley Citation Style_1">
    <vt:lpwstr>http://www.zotero.org/styles/nature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http://www.zotero.org/styles/nature-no-et-al</vt:lpwstr>
  </property>
  <property fmtid="{D5CDD505-2E9C-101B-9397-08002B2CF9AE}" pid="24" name="Mendeley Recent Style Name 9_1">
    <vt:lpwstr>Nature (no "et al.")</vt:lpwstr>
  </property>
</Properties>
</file>