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5DF41" w14:textId="56F96596" w:rsidR="007742CC" w:rsidRPr="00D11E5F" w:rsidRDefault="00AB1EB6">
      <w:pPr>
        <w:rPr>
          <w:b/>
        </w:rPr>
      </w:pPr>
      <w:r w:rsidRPr="00D11E5F">
        <w:rPr>
          <w:b/>
        </w:rPr>
        <w:t>Methods</w:t>
      </w:r>
    </w:p>
    <w:p w14:paraId="1E5E85E6" w14:textId="3C7287D7" w:rsidR="00AB1EB6" w:rsidRDefault="00AB1EB6"/>
    <w:p w14:paraId="72FEEB81" w14:textId="0F9D0C67" w:rsidR="00C22CA9" w:rsidRPr="00424A4D" w:rsidRDefault="00E66A27" w:rsidP="00C22CA9">
      <w:pPr>
        <w:rPr>
          <w:b/>
        </w:rPr>
      </w:pPr>
      <w:r w:rsidRPr="00424A4D">
        <w:rPr>
          <w:b/>
        </w:rPr>
        <w:t>S</w:t>
      </w:r>
      <w:r w:rsidR="00C22CA9" w:rsidRPr="00424A4D">
        <w:rPr>
          <w:b/>
        </w:rPr>
        <w:t>ubjects</w:t>
      </w:r>
      <w:r w:rsidRPr="00424A4D">
        <w:rPr>
          <w:b/>
        </w:rPr>
        <w:t xml:space="preserve">, whole genome sequencing and </w:t>
      </w:r>
      <w:r w:rsidRPr="00424A4D">
        <w:rPr>
          <w:b/>
          <w:i/>
        </w:rPr>
        <w:t>de novo</w:t>
      </w:r>
      <w:r w:rsidRPr="00424A4D">
        <w:rPr>
          <w:b/>
        </w:rPr>
        <w:t xml:space="preserve"> variant calling</w:t>
      </w:r>
    </w:p>
    <w:p w14:paraId="10D21501" w14:textId="5787D89A" w:rsidR="00C22CA9" w:rsidRDefault="00C22CA9" w:rsidP="00C22CA9">
      <w:pPr>
        <w:ind w:firstLine="720"/>
      </w:pPr>
      <w:r>
        <w:t xml:space="preserve">Patients and parents </w:t>
      </w:r>
      <w:r w:rsidR="00B0211F">
        <w:t>(</w:t>
      </w:r>
      <w:r w:rsidR="00B0211F" w:rsidRPr="00B0211F">
        <w:rPr>
          <w:i/>
        </w:rPr>
        <w:t>i.e.</w:t>
      </w:r>
      <w:r w:rsidR="00B0211F">
        <w:t xml:space="preserve">, trios) </w:t>
      </w:r>
      <w:r>
        <w:t>were enrolled in the Pediatric Cardiac Genomics Consortium (PCGC) Congenital Heart Disease Network Study (CHD GENES: ClinicalTrials.gov identifier NCT01196182).</w:t>
      </w:r>
      <w:r w:rsidR="00E66A27">
        <w:fldChar w:fldCharType="begin" w:fldLock="1"/>
      </w:r>
      <w:r w:rsidR="00E90747">
        <w:instrText>ADDIN CSL_CITATION {"citationItems":[{"id":"ITEM-1","itemData":{"DOI":"10.1161/CIRCRESAHA.111.300297","ISSN":"1524-4571","PMID":"23410879","abstract":"Congenital heart defects (CHD) are the leading cause of infant mortality among birth defects, and later morbidities and premature mortality remain problematic. Although genetic factors contribute significantly to cause CHD, specific genetic lesions are unknown for most patients. The National Heart, Lung, and Blood Institute-funded Pediatric Cardiac Genomics Consortium established the Congenital Heart Disease Genetic Network Study to investigate relationships between genetic factors, clinical features, and outcomes in CHD. The Pediatric Cardiac Genomics Consortium comprises 6 main and 4 satellite sites at which subjects are recruited, and medical data and biospecimens (blood, saliva, cardiovascular tissue) are collected. Core infrastructure includes an administrative/data-coordinating center, biorepository, data hub, and core laboratories (genotyping, whole-exome sequencing, candidate gene evaluation, and variant confirmation). Eligibility includes all forms of CHD. Annual follow-up is obtained for probands &lt;1-year-old. Parents are enrolled whenever available. Enrollment from December 2010 to June 2012 comprised 3772 probands. One or both parents were enrolled for 72% of probands. Proband median age is 5.5 years. The one third enrolled at age &lt;1 year are contacted annually for follow-up information. The distribution of CHD favors more complex lesions. Approximately, 11% of probands have a genetic diagnosis. Adequate DNA is available from 97% and 91% of blood and saliva samples, respectively. Genomic analyses of probands with heterotaxy, atrial septal defects, conotruncal, and left ventricular outflow tract obstructive lesions are underway. The scientific community's use of Pediatric Cardiac Genomics Consortium resources is welcome.","author":[{"dropping-particle":"","family":"Gelb","given":"Bruce","non-dropping-particle":"","parse-names":false,"suffix":""},{"dropping-particle":"","family":"Brueckner","given":"Martina","non-dropping-particle":"","parse-names":false,"suffix":""},{"dropping-particle":"","family":"Chung","given":"Wendy","non-dropping-particle":"","parse-names":false,"suffix":""},{"dropping-particle":"","family":"Goldmuntz","given":"Elizabeth","non-dropping-particle":"","parse-names":false,"suffix":""},{"dropping-particle":"","family":"Kaltman","given":"Jonathan","non-dropping-particle":"","parse-names":false,"suffix":""},{"dropping-particle":"","family":"Kaski","given":"Juan Pablo","non-dropping-particle":"","parse-names":false,"suffix":""},{"dropping-particle":"","family":"Kim","given":"Richard","non-dropping-particle":"","parse-names":false,"suffix":""},{"dropping-particle":"","family":"Kline","given":"Jennie","non-dropping-particle":"","parse-names":false,"suffix":""},{"dropping-particle":"","family":"Mercer-Rosa","given":"Laura","non-dropping-particle":"","parse-names":false,"suffix":""},{"dropping-particle":"","family":"Porter","given":"George","non-dropping-particle":"","parse-names":false,"suffix":""},{"dropping-particle":"","family":"Roberts","given":"Amy","non-dropping-particle":"","parse-names":false,"suffix":""},{"dropping-particle":"","family":"Rosenberg","given":"Ellen","non-dropping-particle":"","parse-names":false,"suffix":""},{"dropping-particle":"","family":"Seiden","given":"Howard","non-dropping-particle":"","parse-names":false,"suffix":""},{"dropping-particle":"","family":"Seidman","given":"Christine","non-dropping-particle":"","parse-names":false,"suffix":""},{"dropping-particle":"","family":"Sleeper","given":"Lynn","non-dropping-particle":"","parse-names":false,"suffix":""},{"dropping-particle":"","family":"Tennstedt","given":"Sharon","non-dropping-particle":"","parse-names":false,"suffix":""},{"dropping-particle":"","family":"Schramm","given":"Charlene","non-dropping-particle":"","parse-names":false,"suffix":""},{"dropping-particle":"","family":"Burns","given":"Kristin","non-dropping-particle":"","parse-names":false,"suffix":""},{"dropping-particle":"","family":"Pearson","given":"Gail","non-dropping-particle":"","parse-names":false,"suffix":""}],"container-title":"Circulation research","id":"ITEM-1","issue":"4","issued":{"date-parts":[["2013","3","15"]]},"page":"698-706","title":"The Congenital Heart Disease Genetic Network Study: rationale, design, and early results.","type":"article-journal","volume":"112"},"uris":["http://www.mendeley.com/documents/?uuid=0bd894d8-95aa-4336-8976-e73a2cc17e33"]}],"mendeley":{"formattedCitation":"&lt;sup&gt;1&lt;/sup&gt;","plainTextFormattedCitation":"1","previouslyFormattedCitation":"&lt;sup&gt;5&lt;/sup&gt;"},"properties":{"noteIndex":0},"schema":"https://github.com/citation-style-language/schema/raw/master/csl-citation.json"}</w:instrText>
      </w:r>
      <w:r w:rsidR="00E66A27">
        <w:fldChar w:fldCharType="separate"/>
      </w:r>
      <w:r w:rsidR="00E90747" w:rsidRPr="00E90747">
        <w:rPr>
          <w:noProof/>
          <w:vertAlign w:val="superscript"/>
        </w:rPr>
        <w:t>1</w:t>
      </w:r>
      <w:r w:rsidR="00E66A27">
        <w:fldChar w:fldCharType="end"/>
      </w:r>
      <w:r>
        <w:t xml:space="preserve"> The protocols were approved by the Institutional Review Boards of Boston’s Children’s Hospital, Brigham and Women’s Hospital, Children’s Hospital of Los Angeles, Children’s Hospital of</w:t>
      </w:r>
      <w:bookmarkStart w:id="0" w:name="_GoBack"/>
      <w:bookmarkEnd w:id="0"/>
      <w:r>
        <w:t xml:space="preserve"> Philadelphia, Columbia University Medical Center, Great Ormond Street Hospital, Icahn School of Medicine at Mount Sinai, Rochester School of Medicine and Dentistry, Steven and Alexandra Cohen Children’s Medical Center of New York, and Yale School of Medicine. All subjects or their parents provided informed consent.</w:t>
      </w:r>
    </w:p>
    <w:p w14:paraId="7B123AF2" w14:textId="2FBA99D7" w:rsidR="00F83463" w:rsidRDefault="00F83463" w:rsidP="00C22CA9">
      <w:pPr>
        <w:ind w:firstLine="720"/>
      </w:pPr>
      <w:r w:rsidRPr="00AC6379">
        <w:rPr>
          <w:i/>
          <w:u w:val="single"/>
        </w:rPr>
        <w:t>Pacific Biosciences (PacBio) long-read sequencing:</w:t>
      </w:r>
      <w:r>
        <w:t xml:space="preserve"> DNAs of 10 PCGC patients were sequenced with PacBio long-read sequencing</w:t>
      </w:r>
      <w:r w:rsidR="00AC2491">
        <w:t xml:space="preserve"> to a depth of 5x.</w:t>
      </w:r>
    </w:p>
    <w:p w14:paraId="3309C2EB" w14:textId="38A36263" w:rsidR="00C22CA9" w:rsidRDefault="00424A4D" w:rsidP="00DD306F">
      <w:pPr>
        <w:ind w:firstLine="720"/>
      </w:pPr>
      <w:r w:rsidRPr="00424A4D">
        <w:rPr>
          <w:i/>
          <w:u w:val="single"/>
        </w:rPr>
        <w:t>Illumina short-read sequencing:</w:t>
      </w:r>
      <w:r>
        <w:t xml:space="preserve"> </w:t>
      </w:r>
      <w:r w:rsidR="00C22CA9" w:rsidRPr="00C22CA9">
        <w:t xml:space="preserve">DNAs of PCGC samples </w:t>
      </w:r>
      <w:r w:rsidR="00DE047E">
        <w:t xml:space="preserve">underwent short-read sequencing </w:t>
      </w:r>
      <w:r w:rsidR="00C22CA9" w:rsidRPr="00C22CA9">
        <w:t>at the Baylor College of Medicine Genomic and RNA Profiling Core (n=</w:t>
      </w:r>
      <w:r>
        <w:t>XXX</w:t>
      </w:r>
      <w:r w:rsidR="00C22CA9" w:rsidRPr="00C22CA9">
        <w:t>), the New York Genome Center (NYGC) Genomic Research Services (n=</w:t>
      </w:r>
      <w:r>
        <w:t>XXX</w:t>
      </w:r>
      <w:r w:rsidR="00C22CA9" w:rsidRPr="00C22CA9">
        <w:t>), and the Broad Institute for Genomic Services (n=</w:t>
      </w:r>
      <w:r>
        <w:t>X</w:t>
      </w:r>
      <w:r w:rsidR="00B200E8">
        <w:t>X</w:t>
      </w:r>
      <w:r>
        <w:t>X</w:t>
      </w:r>
      <w:r w:rsidR="00C22CA9" w:rsidRPr="00C22CA9">
        <w:t xml:space="preserve">) following the same protocol. Genomic DNAs from venous blood or saliva were prepared for sequencing using a PCR-free library preparation. All samples were sequenced on an Illumina Hi-Seq X Ten with 150-bp paired reads to a median depth &gt;30x per individual. </w:t>
      </w:r>
      <w:r w:rsidR="003F2329">
        <w:t xml:space="preserve">Alignment, variant calling, and </w:t>
      </w:r>
      <w:r w:rsidR="003F2329" w:rsidRPr="003F2329">
        <w:rPr>
          <w:i/>
        </w:rPr>
        <w:t>de novo</w:t>
      </w:r>
      <w:r w:rsidR="003F2329">
        <w:t xml:space="preserve"> </w:t>
      </w:r>
      <w:r w:rsidR="00FE62BB">
        <w:t>identification</w:t>
      </w:r>
      <w:r w:rsidR="003F2329">
        <w:t xml:space="preserve"> were performed as described previously (cite WGS paper).</w:t>
      </w:r>
    </w:p>
    <w:p w14:paraId="48EE00C8" w14:textId="77777777" w:rsidR="008F6772" w:rsidRDefault="008F6772"/>
    <w:p w14:paraId="584D4151" w14:textId="5C3C55ED" w:rsidR="00AB1EB6" w:rsidRDefault="00AB1EB6">
      <w:r w:rsidRPr="00DD306F">
        <w:rPr>
          <w:b/>
        </w:rPr>
        <w:t>Phasing</w:t>
      </w:r>
    </w:p>
    <w:p w14:paraId="46DF8878" w14:textId="48FA71BB" w:rsidR="0096078F" w:rsidRDefault="00B7001A" w:rsidP="00EA0EA8">
      <w:pPr>
        <w:ind w:firstLine="720"/>
      </w:pPr>
      <w:r>
        <w:t xml:space="preserve">Whatshap (0.16) was used to phase </w:t>
      </w:r>
      <w:r w:rsidR="00DD306F">
        <w:t>DNVs</w:t>
      </w:r>
      <w:r w:rsidR="00305435">
        <w:t xml:space="preserve"> through read-back phasing</w:t>
      </w:r>
      <w:r w:rsidR="00DD306F">
        <w:t>.</w:t>
      </w:r>
      <w:r w:rsidR="001D5F05">
        <w:fldChar w:fldCharType="begin" w:fldLock="1"/>
      </w:r>
      <w:r w:rsidR="00E90747">
        <w:instrText>ADDIN CSL_CITATION {"citationItems":[{"id":"ITEM-1","itemData":{"DOI":"10.1101/085050","abstract":"Read-based phasing allows to reconstruct the haplotype structure of a sample purely from sequencing reads. While phasing is a required step for answering questions about population genetics, compound heterozygosity, and to aid in clinical decision making, there has been a lack of an accurate, usable and standards-based software. WhatsHap is a production-ready tool for highly accurate read-based phasing. It was designed from the beginning to leverage third-generation sequencing technologies, whose long reads can span many variants and are therefore ideal for phasing. WhatsHap works also well with second-generation data, is easy to use and will phase not only SNVs, but also indels and other variants. It is unique in its ability to combine read-based with genetic phasing, allowing to further improve accuracy if multiple related samples are provided.","author":[{"dropping-particle":"","family":"Martin","given":"Marcel","non-dropping-particle":"","parse-names":false,"suffix":""},{"dropping-particle":"","family":"Patterson","given":"Murray","non-dropping-particle":"","parse-names":false,"suffix":""},{"dropping-particle":"","family":"Garg","given":"Shilpa","non-dropping-particle":"","parse-names":false,"suffix":""},{"dropping-particle":"","family":"Fischer","given":"Sarah O.","non-dropping-particle":"","parse-names":false,"suffix":""},{"dropping-particle":"","family":"Pisanti","given":"Nadia","non-dropping-particle":"","parse-names":false,"suffix":""},{"dropping-particle":"","family":"Klau","given":"Gunnar W.","non-dropping-particle":"","parse-names":false,"suffix":""},{"dropping-particle":"","family":"Schoenhuth","given":"Alexander","non-dropping-particle":"","parse-names":false,"suffix":""},{"dropping-particle":"","family":"Marschall","given":"Tobias","non-dropping-particle":"","parse-names":false,"suffix":""}],"container-title":"bioRxiv","id":"ITEM-1","issued":{"date-parts":[["2016","11","14"]]},"page":"085050","publisher":"Cold Spring Harbor Laboratory","title":"WhatsHap: fast and accurate read-based phasing","type":"article-journal"},"uris":["http://www.mendeley.com/documents/?uuid=f13fa170-28b4-3340-81ba-b61e8e5fae46"]}],"mendeley":{"formattedCitation":"&lt;sup&gt;2&lt;/sup&gt;","plainTextFormattedCitation":"2","previouslyFormattedCitation":"&lt;sup&gt;6&lt;/sup&gt;"},"properties":{"noteIndex":0},"schema":"https://github.com/citation-style-language/schema/raw/master/csl-citation.json"}</w:instrText>
      </w:r>
      <w:r w:rsidR="001D5F05">
        <w:fldChar w:fldCharType="separate"/>
      </w:r>
      <w:r w:rsidR="00E90747" w:rsidRPr="00E90747">
        <w:rPr>
          <w:noProof/>
          <w:vertAlign w:val="superscript"/>
        </w:rPr>
        <w:t>2</w:t>
      </w:r>
      <w:r w:rsidR="001D5F05">
        <w:fldChar w:fldCharType="end"/>
      </w:r>
      <w:r w:rsidR="00E851CD">
        <w:t xml:space="preserve"> </w:t>
      </w:r>
      <w:r w:rsidR="00305435">
        <w:t>Inputs were either the short- and long-read alignment files, the trio VCF generated from Illumina short-read sequencing. Indels were used for short- but not long-read phasing (</w:t>
      </w:r>
      <w:r w:rsidR="00305435" w:rsidRPr="00305435">
        <w:rPr>
          <w:i/>
        </w:rPr>
        <w:t>i.e.</w:t>
      </w:r>
      <w:r w:rsidR="00305435">
        <w:t>, did not use whatshap --indel flag for PacBio data). The output</w:t>
      </w:r>
      <w:r w:rsidR="0096078F">
        <w:t xml:space="preserve"> was a phased</w:t>
      </w:r>
      <w:r w:rsidR="00305435">
        <w:t xml:space="preserve"> VC</w:t>
      </w:r>
      <w:r w:rsidR="0096078F">
        <w:t>F, with the full trio and the proband’s variants phased</w:t>
      </w:r>
      <w:r w:rsidR="00305435">
        <w:t>.</w:t>
      </w:r>
    </w:p>
    <w:p w14:paraId="11B94562" w14:textId="5DB2CC65" w:rsidR="00DD306F" w:rsidRDefault="00BF1E38" w:rsidP="00EA0EA8">
      <w:pPr>
        <w:ind w:firstLine="720"/>
      </w:pPr>
      <w:r>
        <w:t>Following phasing, DNVs were programmatically assigned to the parent</w:t>
      </w:r>
      <w:r w:rsidR="000A6C02">
        <w:t xml:space="preserve"> </w:t>
      </w:r>
      <w:r>
        <w:t>of</w:t>
      </w:r>
      <w:r w:rsidR="000A6C02">
        <w:t xml:space="preserve"> </w:t>
      </w:r>
      <w:r>
        <w:t>origin.</w:t>
      </w:r>
      <w:r w:rsidR="0096078F">
        <w:t xml:space="preserve"> Whasthap was used to generate a GTF from the </w:t>
      </w:r>
      <w:r w:rsidR="00D43A31">
        <w:t>phased VCF, where the GTF genomic coordinates represented haplotype blocks of contiguously phased variants.</w:t>
      </w:r>
      <w:r w:rsidR="00E76C80">
        <w:t xml:space="preserve"> DNVs were assigned to a parent of origin if ≥85% of informative variants in (</w:t>
      </w:r>
      <w:r w:rsidR="00E76C80" w:rsidRPr="00E76C80">
        <w:rPr>
          <w:i/>
        </w:rPr>
        <w:t>i.e.</w:t>
      </w:r>
      <w:r w:rsidR="00E76C80">
        <w:t>, variants in a haplotype block) were assigned to that parent.</w:t>
      </w:r>
    </w:p>
    <w:p w14:paraId="58170139" w14:textId="4FE7B3E1" w:rsidR="00C07FA6" w:rsidRPr="005920F7" w:rsidRDefault="00E76C80" w:rsidP="00C07FA6">
      <w:pPr>
        <w:ind w:firstLine="720"/>
      </w:pPr>
      <w:r>
        <w:t xml:space="preserve">For PacBio data, </w:t>
      </w:r>
      <w:r w:rsidR="004B6E9F" w:rsidRPr="004B6E9F">
        <w:rPr>
          <w:i/>
        </w:rPr>
        <w:t>de novo</w:t>
      </w:r>
      <w:r w:rsidR="004B6E9F">
        <w:t xml:space="preserve"> </w:t>
      </w:r>
      <w:r w:rsidR="00025DBE">
        <w:t xml:space="preserve">indels were phased manually with the </w:t>
      </w:r>
      <w:r w:rsidR="00AB5B69">
        <w:t>I</w:t>
      </w:r>
      <w:r w:rsidR="00025DBE">
        <w:t>ntegrat</w:t>
      </w:r>
      <w:r w:rsidR="00AB5B69">
        <w:t>ive</w:t>
      </w:r>
      <w:r w:rsidR="00025DBE">
        <w:t xml:space="preserve"> </w:t>
      </w:r>
      <w:r w:rsidR="00AB5B69">
        <w:t>G</w:t>
      </w:r>
      <w:r w:rsidR="00025DBE">
        <w:t xml:space="preserve">enomics </w:t>
      </w:r>
      <w:r w:rsidR="00AB5B69">
        <w:t>V</w:t>
      </w:r>
      <w:r w:rsidR="00025DBE">
        <w:t>iewer (IGV).</w:t>
      </w:r>
      <w:r w:rsidR="00D47C8E">
        <w:fldChar w:fldCharType="begin" w:fldLock="1"/>
      </w:r>
      <w:r w:rsidR="00E90747">
        <w:instrText>ADDIN CSL_CITATION {"citationItems":[{"id":"ITEM-1","itemData":{"DOI":"10.1038/nbt.1754","ISSN":"1546-1696","PMID":"21221095","author":[{"dropping-particle":"","family":"Robinson","given":"James T","non-dropping-particle":"","parse-names":false,"suffix":""},{"dropping-particle":"","family":"Thorvaldsdóttir","given":"Helga","non-dropping-particle":"","parse-names":false,"suffix":""},{"dropping-particle":"","family":"Winckler","given":"Wendy","non-dropping-particle":"","parse-names":false,"suffix":""},{"dropping-particle":"","family":"Guttman","given":"Mitchell","non-dropping-particle":"","parse-names":false,"suffix":""},{"dropping-particle":"","family":"Lander","given":"Eric S","non-dropping-particle":"","parse-names":false,"suffix":""},{"dropping-particle":"","family":"Getz","given":"Gad","non-dropping-particle":"","parse-names":false,"suffix":""},{"dropping-particle":"","family":"Mesirov","given":"Jill P","non-dropping-particle":"","parse-names":false,"suffix":""}],"container-title":"Nature biotechnology","id":"ITEM-1","issue":"1","issued":{"date-parts":[["2011","1"]]},"page":"24-6","publisher":"Nature Publishing Group, a division of Macmillan Publishers Limited. All Rights Reserved.","title":"Integrative genomics viewer.","title-short":"Nat Biotech","type":"article-journal","volume":"29"},"uris":["http://www.mendeley.com/documents/?uuid=c90bcd59-0274-4242-b9d7-1f8afdb472e3"]}],"mendeley":{"formattedCitation":"&lt;sup&gt;3&lt;/sup&gt;","plainTextFormattedCitation":"3","previouslyFormattedCitation":"&lt;sup&gt;7&lt;/sup&gt;"},"properties":{"noteIndex":0},"schema":"https://github.com/citation-style-language/schema/raw/master/csl-citation.json"}</w:instrText>
      </w:r>
      <w:r w:rsidR="00D47C8E">
        <w:fldChar w:fldCharType="separate"/>
      </w:r>
      <w:r w:rsidR="00E90747" w:rsidRPr="00E90747">
        <w:rPr>
          <w:noProof/>
          <w:vertAlign w:val="superscript"/>
        </w:rPr>
        <w:t>3</w:t>
      </w:r>
      <w:r w:rsidR="00D47C8E">
        <w:fldChar w:fldCharType="end"/>
      </w:r>
      <w:r w:rsidR="00025DBE">
        <w:t xml:space="preserve"> </w:t>
      </w:r>
      <w:r w:rsidR="004B6E9F">
        <w:t xml:space="preserve">For each </w:t>
      </w:r>
      <w:r w:rsidR="004B6E9F" w:rsidRPr="004B6E9F">
        <w:rPr>
          <w:i/>
        </w:rPr>
        <w:t>de novo</w:t>
      </w:r>
      <w:r w:rsidR="004B6E9F">
        <w:t xml:space="preserve"> indel</w:t>
      </w:r>
      <w:r w:rsidR="005757EC">
        <w:t>, we identified the 2-5 highest confidence reads (with Reference/Alternative alleles)</w:t>
      </w:r>
      <w:r w:rsidR="000766AA">
        <w:t xml:space="preserve">. These reads were highlighted with IGV and we identified inherited single nucleotide variants (SNVs) on the </w:t>
      </w:r>
      <w:r w:rsidR="00132FF6">
        <w:t xml:space="preserve">informative </w:t>
      </w:r>
      <w:r w:rsidR="000766AA">
        <w:t>read</w:t>
      </w:r>
      <w:r w:rsidR="00132FF6">
        <w:t>s</w:t>
      </w:r>
      <w:r w:rsidR="000766AA">
        <w:t xml:space="preserve">. </w:t>
      </w:r>
      <w:r w:rsidR="005920F7">
        <w:t xml:space="preserve">We then assigned the </w:t>
      </w:r>
      <w:r w:rsidR="005920F7">
        <w:rPr>
          <w:i/>
        </w:rPr>
        <w:t xml:space="preserve">de novo </w:t>
      </w:r>
      <w:r w:rsidR="005920F7">
        <w:t xml:space="preserve">indel to the parent of origin </w:t>
      </w:r>
      <w:r w:rsidR="00132FF6">
        <w:t>if all SNVs on the informative reads were in agreement.</w:t>
      </w:r>
      <w:r w:rsidR="00C91CE6">
        <w:t xml:space="preserve"> We validated this heuristic approach with the </w:t>
      </w:r>
      <w:r w:rsidR="00AB203A" w:rsidRPr="00AB203A">
        <w:rPr>
          <w:i/>
        </w:rPr>
        <w:t>de novo</w:t>
      </w:r>
      <w:r w:rsidR="00AB203A">
        <w:t xml:space="preserve"> indels phased using Illumina short-read sequencing.</w:t>
      </w:r>
      <w:r w:rsidR="00AD0A60">
        <w:t xml:space="preserve"> IGV plots used for </w:t>
      </w:r>
      <w:r w:rsidR="00AD0A60" w:rsidRPr="00AD0A60">
        <w:rPr>
          <w:i/>
        </w:rPr>
        <w:t>de novo</w:t>
      </w:r>
      <w:r w:rsidR="00AD0A60">
        <w:t xml:space="preserve"> indel phasing are provided in the code repository (see </w:t>
      </w:r>
      <w:r w:rsidR="00AD0A60" w:rsidRPr="00972871">
        <w:rPr>
          <w:b/>
        </w:rPr>
        <w:t>URLs</w:t>
      </w:r>
      <w:r w:rsidR="00AD0A60">
        <w:t>)</w:t>
      </w:r>
      <w:r w:rsidR="00972871">
        <w:t>.</w:t>
      </w:r>
    </w:p>
    <w:p w14:paraId="010FB247" w14:textId="6682C1F6" w:rsidR="00AB1EB6" w:rsidRDefault="00AB1EB6" w:rsidP="005C52C3"/>
    <w:p w14:paraId="4157E5BD" w14:textId="1441154D" w:rsidR="005C52C3" w:rsidRDefault="005C52C3" w:rsidP="005C52C3">
      <w:r>
        <w:t>Replicating Iceland Results</w:t>
      </w:r>
    </w:p>
    <w:p w14:paraId="1FDADF80" w14:textId="3A7442EB" w:rsidR="005C52C3" w:rsidRDefault="005C52C3" w:rsidP="005C52C3">
      <w:pPr>
        <w:pStyle w:val="ListParagraph"/>
        <w:numPr>
          <w:ilvl w:val="0"/>
          <w:numId w:val="1"/>
        </w:numPr>
      </w:pPr>
      <w:r>
        <w:t>Used Ref and Alt columns of dataframe to classify SNPs into mutational classes (C &gt; A,</w:t>
      </w:r>
    </w:p>
    <w:p w14:paraId="41514BC3" w14:textId="63E08969" w:rsidR="005C52C3" w:rsidRDefault="005C52C3" w:rsidP="005C52C3">
      <w:pPr>
        <w:pStyle w:val="ListParagraph"/>
      </w:pPr>
      <w:r>
        <w:lastRenderedPageBreak/>
        <w:t>C &gt; T, C &gt; G, T &gt; A, T &gt; C, CpG &gt; TpG) and included indels as their own mutational class</w:t>
      </w:r>
    </w:p>
    <w:p w14:paraId="38046E17" w14:textId="19FC38EF" w:rsidR="005C52C3" w:rsidRDefault="005C52C3" w:rsidP="005C52C3">
      <w:pPr>
        <w:pStyle w:val="ListParagraph"/>
        <w:numPr>
          <w:ilvl w:val="0"/>
          <w:numId w:val="1"/>
        </w:numPr>
      </w:pPr>
      <w:r>
        <w:t>In order to get CpG &gt; TpG mutations:</w:t>
      </w:r>
    </w:p>
    <w:p w14:paraId="7C20E2E4" w14:textId="0B74166A" w:rsidR="005C52C3" w:rsidRDefault="005C52C3" w:rsidP="005C52C3">
      <w:pPr>
        <w:pStyle w:val="ListParagraph"/>
        <w:numPr>
          <w:ilvl w:val="1"/>
          <w:numId w:val="1"/>
        </w:numPr>
      </w:pPr>
      <w:r>
        <w:t>Used bedtools getfasta with hg38 reference file to get the single nucleotides on either side of the SNP and marked every SNP that was a C adjacent to a G, or a G adjacent to a C as CpG</w:t>
      </w:r>
    </w:p>
    <w:p w14:paraId="7F8C88E4" w14:textId="28EFC38F" w:rsidR="005C52C3" w:rsidRDefault="005C52C3" w:rsidP="005C52C3">
      <w:pPr>
        <w:pStyle w:val="ListParagraph"/>
        <w:numPr>
          <w:ilvl w:val="1"/>
          <w:numId w:val="1"/>
        </w:numPr>
      </w:pPr>
      <w:r>
        <w:t xml:space="preserve">The </w:t>
      </w:r>
      <w:r>
        <w:rPr>
          <w:i/>
        </w:rPr>
        <w:t>de novo</w:t>
      </w:r>
      <w:r>
        <w:t xml:space="preserve"> variants that were annotated as being in CpG regions and were C &gt; T mutations classified as CpG &gt; TpG, the </w:t>
      </w:r>
      <w:r>
        <w:rPr>
          <w:i/>
        </w:rPr>
        <w:t>de novo</w:t>
      </w:r>
      <w:r>
        <w:t xml:space="preserve"> variants that were C &gt; T but were not in CpG regions were classified as C &gt; T (no overlap between the two)</w:t>
      </w:r>
    </w:p>
    <w:p w14:paraId="112E1C05" w14:textId="5EA78B35" w:rsidR="005C52C3" w:rsidRDefault="005C52C3" w:rsidP="005C52C3">
      <w:pPr>
        <w:pStyle w:val="ListParagraph"/>
        <w:numPr>
          <w:ilvl w:val="0"/>
          <w:numId w:val="1"/>
        </w:numPr>
      </w:pPr>
      <w:r>
        <w:t xml:space="preserve">Calculated the fraction of phased </w:t>
      </w:r>
      <w:r>
        <w:rPr>
          <w:i/>
        </w:rPr>
        <w:t xml:space="preserve">de novo </w:t>
      </w:r>
      <w:r>
        <w:t>variants that were components of each mutational class and created bar chart to compare those assigned to mother versus father as parent of origin for each class</w:t>
      </w:r>
    </w:p>
    <w:p w14:paraId="5C94643E" w14:textId="5447D407" w:rsidR="005C52C3" w:rsidRDefault="005C52C3" w:rsidP="005C52C3">
      <w:pPr>
        <w:pStyle w:val="ListParagraph"/>
        <w:numPr>
          <w:ilvl w:val="0"/>
          <w:numId w:val="1"/>
        </w:numPr>
      </w:pPr>
      <w:r>
        <w:t>Plotted these fractions for each proband against the age of the mother and age of the father to look for associations with parental age</w:t>
      </w:r>
    </w:p>
    <w:p w14:paraId="629DEF40" w14:textId="38DD55DB" w:rsidR="005C52C3" w:rsidRDefault="005C52C3" w:rsidP="005C52C3"/>
    <w:p w14:paraId="1E338D73" w14:textId="771CFD6C" w:rsidR="005C52C3" w:rsidRDefault="005C52C3" w:rsidP="005C52C3">
      <w:r>
        <w:t>Classifying Indels</w:t>
      </w:r>
    </w:p>
    <w:p w14:paraId="2E3309D4" w14:textId="6EF8B592" w:rsidR="00C222E9" w:rsidRDefault="00C222E9" w:rsidP="00C222E9">
      <w:pPr>
        <w:pStyle w:val="ListParagraph"/>
        <w:numPr>
          <w:ilvl w:val="0"/>
          <w:numId w:val="1"/>
        </w:numPr>
      </w:pPr>
      <w:r>
        <w:t>Developed Python package to automate this process</w:t>
      </w:r>
    </w:p>
    <w:p w14:paraId="565AA217" w14:textId="383462CD" w:rsidR="00C222E9" w:rsidRDefault="00C222E9" w:rsidP="00C222E9">
      <w:pPr>
        <w:pStyle w:val="ListParagraph"/>
        <w:numPr>
          <w:ilvl w:val="1"/>
          <w:numId w:val="1"/>
        </w:numPr>
      </w:pPr>
      <w:r>
        <w:t>Named sorting_hat</w:t>
      </w:r>
    </w:p>
    <w:p w14:paraId="2E12880A" w14:textId="2125AC86" w:rsidR="005C52C3" w:rsidRDefault="005C52C3" w:rsidP="005C52C3">
      <w:pPr>
        <w:pStyle w:val="ListParagraph"/>
        <w:numPr>
          <w:ilvl w:val="0"/>
          <w:numId w:val="1"/>
        </w:numPr>
      </w:pPr>
      <w:r>
        <w:t>Three classes: HR, CCC, non-CCC</w:t>
      </w:r>
    </w:p>
    <w:p w14:paraId="3D585012" w14:textId="7FA81079" w:rsidR="005C52C3" w:rsidRDefault="005C52C3" w:rsidP="005C52C3">
      <w:pPr>
        <w:pStyle w:val="ListParagraph"/>
        <w:numPr>
          <w:ilvl w:val="1"/>
          <w:numId w:val="1"/>
        </w:numPr>
      </w:pPr>
      <w:r>
        <w:t>HR: homopolymer run (mutation is in a region where there are 6 or more copies of the nucleotide being inserted or deleted)</w:t>
      </w:r>
    </w:p>
    <w:p w14:paraId="6D8CF381" w14:textId="1F445A06" w:rsidR="005C52C3" w:rsidRDefault="005C52C3" w:rsidP="005C52C3">
      <w:pPr>
        <w:pStyle w:val="ListParagraph"/>
        <w:numPr>
          <w:ilvl w:val="1"/>
          <w:numId w:val="1"/>
        </w:numPr>
      </w:pPr>
      <w:r>
        <w:t>CCC: change in copy count (the sequence being inserted or deleted has 1 or more repeats in the mutation region)</w:t>
      </w:r>
    </w:p>
    <w:p w14:paraId="1C3E5540" w14:textId="3AC38936" w:rsidR="005C52C3" w:rsidRDefault="005C52C3" w:rsidP="005C52C3">
      <w:pPr>
        <w:pStyle w:val="ListParagraph"/>
        <w:numPr>
          <w:ilvl w:val="1"/>
          <w:numId w:val="1"/>
        </w:numPr>
      </w:pPr>
      <w:r>
        <w:t>non-CCC: no change in copy count (the sequence being inserted or deleted is not repeated in the mutation region)</w:t>
      </w:r>
    </w:p>
    <w:p w14:paraId="7A73AB4A" w14:textId="28CE1AB5" w:rsidR="005C52C3" w:rsidRDefault="00D1343A" w:rsidP="005C52C3">
      <w:pPr>
        <w:pStyle w:val="ListParagraph"/>
        <w:numPr>
          <w:ilvl w:val="0"/>
          <w:numId w:val="1"/>
        </w:numPr>
      </w:pPr>
      <w:r>
        <w:t>Used bedtools getfasta to get bases surrounding the indel</w:t>
      </w:r>
    </w:p>
    <w:p w14:paraId="05E3678D" w14:textId="40D51D8E" w:rsidR="00D1343A" w:rsidRDefault="00D1343A" w:rsidP="00D1343A">
      <w:pPr>
        <w:pStyle w:val="ListParagraph"/>
        <w:numPr>
          <w:ilvl w:val="1"/>
          <w:numId w:val="1"/>
        </w:numPr>
      </w:pPr>
      <w:r>
        <w:t>If the indel was a single nucleotide, collected 6 bases on either side of the indel</w:t>
      </w:r>
    </w:p>
    <w:p w14:paraId="69061F2E" w14:textId="2FE40113" w:rsidR="00D1343A" w:rsidRDefault="00D1343A" w:rsidP="00D1343A">
      <w:pPr>
        <w:pStyle w:val="ListParagraph"/>
        <w:numPr>
          <w:ilvl w:val="1"/>
          <w:numId w:val="1"/>
        </w:numPr>
      </w:pPr>
      <w:r>
        <w:t>If the indel was a sequence of 2 or more bases, collected 2*length of sequence bases on either side of the indel</w:t>
      </w:r>
    </w:p>
    <w:p w14:paraId="5909F690" w14:textId="63CCF541" w:rsidR="00D1343A" w:rsidRDefault="00D1343A" w:rsidP="00D1343A">
      <w:pPr>
        <w:pStyle w:val="ListParagraph"/>
        <w:numPr>
          <w:ilvl w:val="0"/>
          <w:numId w:val="1"/>
        </w:numPr>
      </w:pPr>
      <w:r>
        <w:t>Compared indel sequence to adjacent sequence of equal length</w:t>
      </w:r>
    </w:p>
    <w:p w14:paraId="48E99FCC" w14:textId="61D02B26" w:rsidR="00D1343A" w:rsidRDefault="00D1343A" w:rsidP="00D1343A">
      <w:pPr>
        <w:pStyle w:val="ListParagraph"/>
        <w:numPr>
          <w:ilvl w:val="1"/>
          <w:numId w:val="1"/>
        </w:numPr>
      </w:pPr>
      <w:r>
        <w:t>If the indel sequence and adjacent sequence were the same:</w:t>
      </w:r>
    </w:p>
    <w:p w14:paraId="0A1434D6" w14:textId="7DE832F9" w:rsidR="00D1343A" w:rsidRDefault="00D1343A" w:rsidP="00D1343A">
      <w:pPr>
        <w:pStyle w:val="ListParagraph"/>
        <w:numPr>
          <w:ilvl w:val="2"/>
          <w:numId w:val="1"/>
        </w:numPr>
      </w:pPr>
      <w:r>
        <w:t>If the indel sequence was a single nucleotide, checked for 6 adjacent copies to see if it was HR</w:t>
      </w:r>
    </w:p>
    <w:p w14:paraId="4FF86DC6" w14:textId="3E81C30D" w:rsidR="00D1343A" w:rsidRDefault="00D1343A" w:rsidP="00D1343A">
      <w:pPr>
        <w:pStyle w:val="ListParagraph"/>
        <w:numPr>
          <w:ilvl w:val="2"/>
          <w:numId w:val="1"/>
        </w:numPr>
      </w:pPr>
      <w:r>
        <w:t>Otherwise, assigned as CCC</w:t>
      </w:r>
    </w:p>
    <w:p w14:paraId="13249434" w14:textId="2805B7F6" w:rsidR="00D1343A" w:rsidRDefault="00D1343A" w:rsidP="00D1343A">
      <w:pPr>
        <w:pStyle w:val="ListParagraph"/>
        <w:numPr>
          <w:ilvl w:val="1"/>
          <w:numId w:val="1"/>
        </w:numPr>
      </w:pPr>
      <w:r>
        <w:t>If the indel sequence and adjacent sequence were not the same, assigned as non-CCC</w:t>
      </w:r>
    </w:p>
    <w:p w14:paraId="7E6F19C7" w14:textId="7D3DEC0E" w:rsidR="00D1343A" w:rsidRDefault="00D1343A" w:rsidP="00D1343A">
      <w:pPr>
        <w:pStyle w:val="ListParagraph"/>
        <w:numPr>
          <w:ilvl w:val="0"/>
          <w:numId w:val="1"/>
        </w:numPr>
      </w:pPr>
      <w:r>
        <w:t>Downloaded RepeatMasker from UCSC Genome Browser to obtain repeat name, repeat class, and family if the indel was in a repeat region</w:t>
      </w:r>
    </w:p>
    <w:p w14:paraId="4B95CF12" w14:textId="2A78AFA7" w:rsidR="0052132B" w:rsidRDefault="0052132B" w:rsidP="0052132B"/>
    <w:p w14:paraId="72F771DB" w14:textId="19D7D6BF" w:rsidR="0052132B" w:rsidRDefault="0052132B" w:rsidP="0052132B"/>
    <w:p w14:paraId="08561E5A" w14:textId="43DDABF1" w:rsidR="0052132B" w:rsidRPr="00203553" w:rsidRDefault="00203553" w:rsidP="0052132B">
      <w:pPr>
        <w:rPr>
          <w:b/>
        </w:rPr>
      </w:pPr>
      <w:r>
        <w:rPr>
          <w:b/>
        </w:rPr>
        <w:t>URLS</w:t>
      </w:r>
    </w:p>
    <w:p w14:paraId="5B4067B6" w14:textId="1160AFA3" w:rsidR="0052132B" w:rsidRDefault="00B61A5A" w:rsidP="0052132B">
      <w:r>
        <w:t>Code</w:t>
      </w:r>
      <w:r w:rsidR="0052132B">
        <w:t xml:space="preserve">: </w:t>
      </w:r>
      <w:hyperlink r:id="rId6" w:history="1">
        <w:r w:rsidR="00A43DE4" w:rsidRPr="000A0C72">
          <w:rPr>
            <w:rStyle w:val="Hyperlink"/>
          </w:rPr>
          <w:t>https://github.com/allisonseiden/longreadclustersequencing/</w:t>
        </w:r>
      </w:hyperlink>
    </w:p>
    <w:p w14:paraId="0B9C7FBE" w14:textId="241BED19" w:rsidR="00A43DE4" w:rsidRDefault="00A43DE4" w:rsidP="0052132B"/>
    <w:p w14:paraId="5E638E54" w14:textId="78353C77" w:rsidR="00C93C18" w:rsidRDefault="00E85D45" w:rsidP="0052132B">
      <w:pPr>
        <w:rPr>
          <w:b/>
        </w:rPr>
      </w:pPr>
      <w:r>
        <w:rPr>
          <w:b/>
        </w:rPr>
        <w:t>References</w:t>
      </w:r>
    </w:p>
    <w:p w14:paraId="2C82FD10" w14:textId="77777777" w:rsidR="00F9043A" w:rsidRPr="00F9043A" w:rsidRDefault="00F9043A" w:rsidP="0052132B">
      <w:pPr>
        <w:rPr>
          <w:b/>
        </w:rPr>
      </w:pPr>
    </w:p>
    <w:p w14:paraId="3EF2DDB0" w14:textId="286E9003" w:rsidR="00E90747" w:rsidRPr="00E90747" w:rsidRDefault="00F9043A" w:rsidP="00E90747">
      <w:pPr>
        <w:widowControl w:val="0"/>
        <w:autoSpaceDE w:val="0"/>
        <w:autoSpaceDN w:val="0"/>
        <w:adjustRightInd w:val="0"/>
        <w:ind w:left="640" w:hanging="640"/>
        <w:rPr>
          <w:rFonts w:ascii="Calibri" w:hAnsi="Calibri" w:cs="Calibri"/>
          <w:noProof/>
        </w:rPr>
      </w:pPr>
      <w:r>
        <w:lastRenderedPageBreak/>
        <w:fldChar w:fldCharType="begin" w:fldLock="1"/>
      </w:r>
      <w:r>
        <w:instrText xml:space="preserve">ADDIN Mendeley Bibliography CSL_BIBLIOGRAPHY </w:instrText>
      </w:r>
      <w:r>
        <w:fldChar w:fldCharType="separate"/>
      </w:r>
      <w:r w:rsidR="00E90747" w:rsidRPr="00E90747">
        <w:rPr>
          <w:rFonts w:ascii="Calibri" w:hAnsi="Calibri" w:cs="Calibri"/>
          <w:noProof/>
        </w:rPr>
        <w:t>1.</w:t>
      </w:r>
      <w:r w:rsidR="00E90747" w:rsidRPr="00E90747">
        <w:rPr>
          <w:rFonts w:ascii="Calibri" w:hAnsi="Calibri" w:cs="Calibri"/>
          <w:noProof/>
        </w:rPr>
        <w:tab/>
        <w:t xml:space="preserve">Gelb, B. </w:t>
      </w:r>
      <w:r w:rsidR="00E90747" w:rsidRPr="00E90747">
        <w:rPr>
          <w:rFonts w:ascii="Calibri" w:hAnsi="Calibri" w:cs="Calibri"/>
          <w:i/>
          <w:iCs/>
          <w:noProof/>
        </w:rPr>
        <w:t>et al.</w:t>
      </w:r>
      <w:r w:rsidR="00E90747" w:rsidRPr="00E90747">
        <w:rPr>
          <w:rFonts w:ascii="Calibri" w:hAnsi="Calibri" w:cs="Calibri"/>
          <w:noProof/>
        </w:rPr>
        <w:t xml:space="preserve"> The Congenital Heart Disease Genetic Network Study: rationale, design, and early results. </w:t>
      </w:r>
      <w:r w:rsidR="00E90747" w:rsidRPr="00E90747">
        <w:rPr>
          <w:rFonts w:ascii="Calibri" w:hAnsi="Calibri" w:cs="Calibri"/>
          <w:i/>
          <w:iCs/>
          <w:noProof/>
        </w:rPr>
        <w:t>Circ. Res.</w:t>
      </w:r>
      <w:r w:rsidR="00E90747" w:rsidRPr="00E90747">
        <w:rPr>
          <w:rFonts w:ascii="Calibri" w:hAnsi="Calibri" w:cs="Calibri"/>
          <w:noProof/>
        </w:rPr>
        <w:t xml:space="preserve"> </w:t>
      </w:r>
      <w:r w:rsidR="00E90747" w:rsidRPr="00E90747">
        <w:rPr>
          <w:rFonts w:ascii="Calibri" w:hAnsi="Calibri" w:cs="Calibri"/>
          <w:b/>
          <w:bCs/>
          <w:noProof/>
        </w:rPr>
        <w:t>112,</w:t>
      </w:r>
      <w:r w:rsidR="00E90747" w:rsidRPr="00E90747">
        <w:rPr>
          <w:rFonts w:ascii="Calibri" w:hAnsi="Calibri" w:cs="Calibri"/>
          <w:noProof/>
        </w:rPr>
        <w:t xml:space="preserve"> 698–706 (2013).</w:t>
      </w:r>
    </w:p>
    <w:p w14:paraId="062F82DB" w14:textId="77777777" w:rsidR="00E90747" w:rsidRPr="00E90747" w:rsidRDefault="00E90747" w:rsidP="00E90747">
      <w:pPr>
        <w:widowControl w:val="0"/>
        <w:autoSpaceDE w:val="0"/>
        <w:autoSpaceDN w:val="0"/>
        <w:adjustRightInd w:val="0"/>
        <w:ind w:left="640" w:hanging="640"/>
        <w:rPr>
          <w:rFonts w:ascii="Calibri" w:hAnsi="Calibri" w:cs="Calibri"/>
          <w:noProof/>
        </w:rPr>
      </w:pPr>
      <w:r w:rsidRPr="00E90747">
        <w:rPr>
          <w:rFonts w:ascii="Calibri" w:hAnsi="Calibri" w:cs="Calibri"/>
          <w:noProof/>
        </w:rPr>
        <w:t>2.</w:t>
      </w:r>
      <w:r w:rsidRPr="00E90747">
        <w:rPr>
          <w:rFonts w:ascii="Calibri" w:hAnsi="Calibri" w:cs="Calibri"/>
          <w:noProof/>
        </w:rPr>
        <w:tab/>
        <w:t xml:space="preserve">Martin, M. </w:t>
      </w:r>
      <w:r w:rsidRPr="00E90747">
        <w:rPr>
          <w:rFonts w:ascii="Calibri" w:hAnsi="Calibri" w:cs="Calibri"/>
          <w:i/>
          <w:iCs/>
          <w:noProof/>
        </w:rPr>
        <w:t>et al.</w:t>
      </w:r>
      <w:r w:rsidRPr="00E90747">
        <w:rPr>
          <w:rFonts w:ascii="Calibri" w:hAnsi="Calibri" w:cs="Calibri"/>
          <w:noProof/>
        </w:rPr>
        <w:t xml:space="preserve"> WhatsHap: fast and accurate read-based phasing. </w:t>
      </w:r>
      <w:r w:rsidRPr="00E90747">
        <w:rPr>
          <w:rFonts w:ascii="Calibri" w:hAnsi="Calibri" w:cs="Calibri"/>
          <w:i/>
          <w:iCs/>
          <w:noProof/>
        </w:rPr>
        <w:t>bioRxiv</w:t>
      </w:r>
      <w:r w:rsidRPr="00E90747">
        <w:rPr>
          <w:rFonts w:ascii="Calibri" w:hAnsi="Calibri" w:cs="Calibri"/>
          <w:noProof/>
        </w:rPr>
        <w:t xml:space="preserve"> 085050 (2016). doi:10.1101/085050</w:t>
      </w:r>
    </w:p>
    <w:p w14:paraId="67BBBDD5" w14:textId="77777777" w:rsidR="00E90747" w:rsidRPr="00E90747" w:rsidRDefault="00E90747" w:rsidP="00E90747">
      <w:pPr>
        <w:widowControl w:val="0"/>
        <w:autoSpaceDE w:val="0"/>
        <w:autoSpaceDN w:val="0"/>
        <w:adjustRightInd w:val="0"/>
        <w:ind w:left="640" w:hanging="640"/>
        <w:rPr>
          <w:rFonts w:ascii="Calibri" w:hAnsi="Calibri" w:cs="Calibri"/>
          <w:noProof/>
        </w:rPr>
      </w:pPr>
      <w:r w:rsidRPr="00E90747">
        <w:rPr>
          <w:rFonts w:ascii="Calibri" w:hAnsi="Calibri" w:cs="Calibri"/>
          <w:noProof/>
        </w:rPr>
        <w:t>3.</w:t>
      </w:r>
      <w:r w:rsidRPr="00E90747">
        <w:rPr>
          <w:rFonts w:ascii="Calibri" w:hAnsi="Calibri" w:cs="Calibri"/>
          <w:noProof/>
        </w:rPr>
        <w:tab/>
        <w:t xml:space="preserve">Robinson, J. T. </w:t>
      </w:r>
      <w:r w:rsidRPr="00E90747">
        <w:rPr>
          <w:rFonts w:ascii="Calibri" w:hAnsi="Calibri" w:cs="Calibri"/>
          <w:i/>
          <w:iCs/>
          <w:noProof/>
        </w:rPr>
        <w:t>et al.</w:t>
      </w:r>
      <w:r w:rsidRPr="00E90747">
        <w:rPr>
          <w:rFonts w:ascii="Calibri" w:hAnsi="Calibri" w:cs="Calibri"/>
          <w:noProof/>
        </w:rPr>
        <w:t xml:space="preserve"> Integrative genomics viewer. </w:t>
      </w:r>
      <w:r w:rsidRPr="00E90747">
        <w:rPr>
          <w:rFonts w:ascii="Calibri" w:hAnsi="Calibri" w:cs="Calibri"/>
          <w:i/>
          <w:iCs/>
          <w:noProof/>
        </w:rPr>
        <w:t>Nat. Biotechnol.</w:t>
      </w:r>
      <w:r w:rsidRPr="00E90747">
        <w:rPr>
          <w:rFonts w:ascii="Calibri" w:hAnsi="Calibri" w:cs="Calibri"/>
          <w:noProof/>
        </w:rPr>
        <w:t xml:space="preserve"> </w:t>
      </w:r>
      <w:r w:rsidRPr="00E90747">
        <w:rPr>
          <w:rFonts w:ascii="Calibri" w:hAnsi="Calibri" w:cs="Calibri"/>
          <w:b/>
          <w:bCs/>
          <w:noProof/>
        </w:rPr>
        <w:t>29,</w:t>
      </w:r>
      <w:r w:rsidRPr="00E90747">
        <w:rPr>
          <w:rFonts w:ascii="Calibri" w:hAnsi="Calibri" w:cs="Calibri"/>
          <w:noProof/>
        </w:rPr>
        <w:t xml:space="preserve"> 24–6 (2011).</w:t>
      </w:r>
    </w:p>
    <w:p w14:paraId="4AE4011B" w14:textId="06EC9FED" w:rsidR="00C93C18" w:rsidRDefault="00F9043A" w:rsidP="00E90747">
      <w:pPr>
        <w:widowControl w:val="0"/>
        <w:autoSpaceDE w:val="0"/>
        <w:autoSpaceDN w:val="0"/>
        <w:adjustRightInd w:val="0"/>
        <w:ind w:left="640" w:hanging="640"/>
      </w:pPr>
      <w:r>
        <w:fldChar w:fldCharType="end"/>
      </w:r>
    </w:p>
    <w:p w14:paraId="6DB110E4" w14:textId="77777777" w:rsidR="00A43DE4" w:rsidRDefault="00A43DE4" w:rsidP="0052132B"/>
    <w:sectPr w:rsidR="00A43DE4" w:rsidSect="003B00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D7D61"/>
    <w:multiLevelType w:val="hybridMultilevel"/>
    <w:tmpl w:val="A9EAE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6DEB"/>
    <w:multiLevelType w:val="hybridMultilevel"/>
    <w:tmpl w:val="4318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C0E1B"/>
    <w:multiLevelType w:val="hybridMultilevel"/>
    <w:tmpl w:val="C6B6E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3B635F"/>
    <w:multiLevelType w:val="hybridMultilevel"/>
    <w:tmpl w:val="63F41C62"/>
    <w:lvl w:ilvl="0" w:tplc="EB969AE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B6"/>
    <w:rsid w:val="00006CAA"/>
    <w:rsid w:val="00021243"/>
    <w:rsid w:val="00025DBE"/>
    <w:rsid w:val="00043B57"/>
    <w:rsid w:val="0004624E"/>
    <w:rsid w:val="000570C7"/>
    <w:rsid w:val="000579A3"/>
    <w:rsid w:val="000766AA"/>
    <w:rsid w:val="00083136"/>
    <w:rsid w:val="0009760F"/>
    <w:rsid w:val="000A6C02"/>
    <w:rsid w:val="000D6B28"/>
    <w:rsid w:val="000E5014"/>
    <w:rsid w:val="000F3358"/>
    <w:rsid w:val="00100FC4"/>
    <w:rsid w:val="001011BC"/>
    <w:rsid w:val="00123367"/>
    <w:rsid w:val="00132FF6"/>
    <w:rsid w:val="0018772B"/>
    <w:rsid w:val="001B35B5"/>
    <w:rsid w:val="001C3CF9"/>
    <w:rsid w:val="001D5F05"/>
    <w:rsid w:val="00203553"/>
    <w:rsid w:val="00236913"/>
    <w:rsid w:val="002451C3"/>
    <w:rsid w:val="0027129F"/>
    <w:rsid w:val="00277855"/>
    <w:rsid w:val="00282C0A"/>
    <w:rsid w:val="002A0931"/>
    <w:rsid w:val="002A3B14"/>
    <w:rsid w:val="00305435"/>
    <w:rsid w:val="003136D1"/>
    <w:rsid w:val="00316764"/>
    <w:rsid w:val="0032367F"/>
    <w:rsid w:val="00353901"/>
    <w:rsid w:val="00371D04"/>
    <w:rsid w:val="00374224"/>
    <w:rsid w:val="003B00B2"/>
    <w:rsid w:val="003B38AB"/>
    <w:rsid w:val="003D1618"/>
    <w:rsid w:val="003F2329"/>
    <w:rsid w:val="00424A4D"/>
    <w:rsid w:val="00457765"/>
    <w:rsid w:val="00471BD3"/>
    <w:rsid w:val="00492C6D"/>
    <w:rsid w:val="004B6E9F"/>
    <w:rsid w:val="004E6469"/>
    <w:rsid w:val="0052132B"/>
    <w:rsid w:val="00525B90"/>
    <w:rsid w:val="0056555C"/>
    <w:rsid w:val="005757EC"/>
    <w:rsid w:val="005815E3"/>
    <w:rsid w:val="005920F7"/>
    <w:rsid w:val="005C52C3"/>
    <w:rsid w:val="005D30A4"/>
    <w:rsid w:val="005D431A"/>
    <w:rsid w:val="00653DC8"/>
    <w:rsid w:val="00666846"/>
    <w:rsid w:val="00736E8E"/>
    <w:rsid w:val="00751489"/>
    <w:rsid w:val="00767B47"/>
    <w:rsid w:val="007742CC"/>
    <w:rsid w:val="00786289"/>
    <w:rsid w:val="00796DC7"/>
    <w:rsid w:val="008074FF"/>
    <w:rsid w:val="00831E9F"/>
    <w:rsid w:val="00841287"/>
    <w:rsid w:val="0085031A"/>
    <w:rsid w:val="00886F32"/>
    <w:rsid w:val="00892E6A"/>
    <w:rsid w:val="008C1D29"/>
    <w:rsid w:val="008C79EE"/>
    <w:rsid w:val="008F6772"/>
    <w:rsid w:val="00953324"/>
    <w:rsid w:val="0096078F"/>
    <w:rsid w:val="00972871"/>
    <w:rsid w:val="00994B3F"/>
    <w:rsid w:val="009B4FB7"/>
    <w:rsid w:val="009D02FD"/>
    <w:rsid w:val="009D3B72"/>
    <w:rsid w:val="009D462C"/>
    <w:rsid w:val="009F4835"/>
    <w:rsid w:val="00A070FA"/>
    <w:rsid w:val="00A43DE4"/>
    <w:rsid w:val="00A44ECA"/>
    <w:rsid w:val="00A6766D"/>
    <w:rsid w:val="00A95D53"/>
    <w:rsid w:val="00A97F07"/>
    <w:rsid w:val="00AB1EB6"/>
    <w:rsid w:val="00AB203A"/>
    <w:rsid w:val="00AB5B69"/>
    <w:rsid w:val="00AC2491"/>
    <w:rsid w:val="00AC6379"/>
    <w:rsid w:val="00AD0A60"/>
    <w:rsid w:val="00AE36C1"/>
    <w:rsid w:val="00AE7721"/>
    <w:rsid w:val="00B0211F"/>
    <w:rsid w:val="00B14566"/>
    <w:rsid w:val="00B200E8"/>
    <w:rsid w:val="00B43313"/>
    <w:rsid w:val="00B55E4B"/>
    <w:rsid w:val="00B573D1"/>
    <w:rsid w:val="00B61A5A"/>
    <w:rsid w:val="00B7001A"/>
    <w:rsid w:val="00B77D9D"/>
    <w:rsid w:val="00BB2020"/>
    <w:rsid w:val="00BC0AE4"/>
    <w:rsid w:val="00BC443E"/>
    <w:rsid w:val="00BE3C04"/>
    <w:rsid w:val="00BF1E38"/>
    <w:rsid w:val="00C01993"/>
    <w:rsid w:val="00C07FA6"/>
    <w:rsid w:val="00C222E9"/>
    <w:rsid w:val="00C22CA9"/>
    <w:rsid w:val="00C56375"/>
    <w:rsid w:val="00C91CE6"/>
    <w:rsid w:val="00C93C18"/>
    <w:rsid w:val="00CC506A"/>
    <w:rsid w:val="00CD36F5"/>
    <w:rsid w:val="00CD5902"/>
    <w:rsid w:val="00CD63FE"/>
    <w:rsid w:val="00CF22D6"/>
    <w:rsid w:val="00D11E5F"/>
    <w:rsid w:val="00D1343A"/>
    <w:rsid w:val="00D30362"/>
    <w:rsid w:val="00D43A31"/>
    <w:rsid w:val="00D460B1"/>
    <w:rsid w:val="00D47C8E"/>
    <w:rsid w:val="00D64992"/>
    <w:rsid w:val="00D67FD9"/>
    <w:rsid w:val="00DA207B"/>
    <w:rsid w:val="00DC670B"/>
    <w:rsid w:val="00DD306F"/>
    <w:rsid w:val="00DE047E"/>
    <w:rsid w:val="00E272E3"/>
    <w:rsid w:val="00E66A27"/>
    <w:rsid w:val="00E76C80"/>
    <w:rsid w:val="00E777A5"/>
    <w:rsid w:val="00E851CD"/>
    <w:rsid w:val="00E85D45"/>
    <w:rsid w:val="00E90747"/>
    <w:rsid w:val="00E92C3C"/>
    <w:rsid w:val="00EA0EA8"/>
    <w:rsid w:val="00EB305D"/>
    <w:rsid w:val="00F21F23"/>
    <w:rsid w:val="00F411A6"/>
    <w:rsid w:val="00F424A8"/>
    <w:rsid w:val="00F83463"/>
    <w:rsid w:val="00F9043A"/>
    <w:rsid w:val="00FA5B90"/>
    <w:rsid w:val="00FB4EB2"/>
    <w:rsid w:val="00FE6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8DA1D"/>
  <w15:chartTrackingRefBased/>
  <w15:docId w15:val="{A73D18F3-D857-F444-A036-3C52BF084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B6"/>
    <w:pPr>
      <w:ind w:left="720"/>
      <w:contextualSpacing/>
    </w:pPr>
  </w:style>
  <w:style w:type="character" w:styleId="Hyperlink">
    <w:name w:val="Hyperlink"/>
    <w:basedOn w:val="DefaultParagraphFont"/>
    <w:uiPriority w:val="99"/>
    <w:unhideWhenUsed/>
    <w:rsid w:val="00A43DE4"/>
    <w:rPr>
      <w:color w:val="0563C1" w:themeColor="hyperlink"/>
      <w:u w:val="single"/>
    </w:rPr>
  </w:style>
  <w:style w:type="character" w:styleId="UnresolvedMention">
    <w:name w:val="Unresolved Mention"/>
    <w:basedOn w:val="DefaultParagraphFont"/>
    <w:uiPriority w:val="99"/>
    <w:semiHidden/>
    <w:unhideWhenUsed/>
    <w:rsid w:val="00A43D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llisonseiden/longreadclustersequenc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59F6B-5993-474F-BAAE-C51F5D7CB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2190</Words>
  <Characters>12488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Seiden</dc:creator>
  <cp:keywords/>
  <dc:description/>
  <cp:lastModifiedBy>Felix Richter</cp:lastModifiedBy>
  <cp:revision>145</cp:revision>
  <dcterms:created xsi:type="dcterms:W3CDTF">2018-08-10T14:47:00Z</dcterms:created>
  <dcterms:modified xsi:type="dcterms:W3CDTF">2019-01-22T15:10:00Z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e5345d0b-83d6-3da6-aeb9-791eb46ac061</vt:lpwstr>
  </property>
  <property fmtid="{D5CDD505-2E9C-101B-9397-08002B2CF9AE}" pid="4" name="Mendeley Citation Style_1">
    <vt:lpwstr>http://www.zotero.org/styles/nature</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http://www.zotero.org/styles/nature-no-et-al</vt:lpwstr>
  </property>
  <property fmtid="{D5CDD505-2E9C-101B-9397-08002B2CF9AE}" pid="24" name="Mendeley Recent Style Name 9_1">
    <vt:lpwstr>Nature (no "et al.")</vt:lpwstr>
  </property>
</Properties>
</file>