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C6CD" w14:textId="77777777" w:rsidR="00AD5EBC" w:rsidRDefault="00183BAE" w:rsidP="00043CF5">
      <w:pPr>
        <w:rPr>
          <w:rFonts w:ascii="Arial" w:hAnsi="Arial" w:cs="Arial"/>
          <w:b/>
        </w:rPr>
      </w:pPr>
      <w:r w:rsidRPr="00444A65">
        <w:rPr>
          <w:rFonts w:ascii="Arial" w:hAnsi="Arial" w:cs="Arial"/>
          <w:b/>
        </w:rPr>
        <w:t>Title</w:t>
      </w:r>
    </w:p>
    <w:p w14:paraId="226196D8" w14:textId="2314E0FF" w:rsidR="00183BAE" w:rsidRDefault="00183BAE" w:rsidP="00043CF5">
      <w:pPr>
        <w:rPr>
          <w:rFonts w:ascii="Arial" w:hAnsi="Arial" w:cs="Arial"/>
        </w:rPr>
      </w:pPr>
      <w:r w:rsidRPr="00444A65">
        <w:rPr>
          <w:rFonts w:ascii="Arial" w:hAnsi="Arial" w:cs="Arial"/>
        </w:rPr>
        <w:t xml:space="preserve">Defining </w:t>
      </w:r>
      <w:r w:rsidRPr="00444A65">
        <w:rPr>
          <w:rFonts w:ascii="Arial" w:hAnsi="Arial" w:cs="Arial"/>
          <w:i/>
        </w:rPr>
        <w:t>de novo</w:t>
      </w:r>
      <w:r w:rsidRPr="00444A65">
        <w:rPr>
          <w:rFonts w:ascii="Arial" w:hAnsi="Arial" w:cs="Arial"/>
        </w:rPr>
        <w:t xml:space="preserve"> indel biology with long-read technology</w:t>
      </w:r>
    </w:p>
    <w:p w14:paraId="73084FCE" w14:textId="77777777" w:rsidR="00D37570" w:rsidRPr="00444A65" w:rsidRDefault="00D37570" w:rsidP="00043CF5">
      <w:pPr>
        <w:rPr>
          <w:rFonts w:ascii="Arial" w:hAnsi="Arial" w:cs="Arial"/>
        </w:rPr>
      </w:pPr>
    </w:p>
    <w:p w14:paraId="26009658" w14:textId="77777777" w:rsidR="00AD5EBC" w:rsidRDefault="00F91BEE" w:rsidP="00043CF5">
      <w:pPr>
        <w:rPr>
          <w:rFonts w:ascii="Arial" w:hAnsi="Arial" w:cs="Arial"/>
          <w:b/>
        </w:rPr>
      </w:pPr>
      <w:r w:rsidRPr="00444A65">
        <w:rPr>
          <w:rFonts w:ascii="Arial" w:hAnsi="Arial" w:cs="Arial"/>
          <w:b/>
        </w:rPr>
        <w:t>Authors</w:t>
      </w:r>
    </w:p>
    <w:p w14:paraId="1FB1B3BA" w14:textId="02EF00DB" w:rsidR="00983C18" w:rsidRPr="00444A65" w:rsidRDefault="00F91BEE" w:rsidP="00043CF5">
      <w:pPr>
        <w:rPr>
          <w:rFonts w:ascii="Arial" w:hAnsi="Arial" w:cs="Arial"/>
        </w:rPr>
      </w:pPr>
      <w:r w:rsidRPr="00444A65">
        <w:rPr>
          <w:rFonts w:ascii="Arial" w:hAnsi="Arial" w:cs="Arial"/>
        </w:rPr>
        <w:t xml:space="preserve">Allison H. </w:t>
      </w:r>
      <w:proofErr w:type="spellStart"/>
      <w:r w:rsidRPr="00444A65">
        <w:rPr>
          <w:rFonts w:ascii="Arial" w:hAnsi="Arial" w:cs="Arial"/>
        </w:rPr>
        <w:t>Seiden</w:t>
      </w:r>
      <w:proofErr w:type="spellEnd"/>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Felix Richter</w:t>
      </w:r>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w:t>
      </w:r>
      <w:proofErr w:type="spellStart"/>
      <w:r w:rsidRPr="00444A65">
        <w:rPr>
          <w:rFonts w:ascii="Arial" w:hAnsi="Arial" w:cs="Arial"/>
        </w:rPr>
        <w:t>Nihir</w:t>
      </w:r>
      <w:proofErr w:type="spellEnd"/>
      <w:r w:rsidRPr="00444A65">
        <w:rPr>
          <w:rFonts w:ascii="Arial" w:hAnsi="Arial" w:cs="Arial"/>
        </w:rPr>
        <w:t xml:space="preserve"> Patel,</w:t>
      </w:r>
      <w:r w:rsidRPr="00444A65">
        <w:rPr>
          <w:rFonts w:ascii="Arial" w:hAnsi="Arial" w:cs="Arial"/>
        </w:rPr>
        <w:t xml:space="preserve"> Andrew Sharp,</w:t>
      </w:r>
      <w:r w:rsidRPr="00444A65">
        <w:rPr>
          <w:rFonts w:ascii="Arial" w:hAnsi="Arial" w:cs="Arial"/>
        </w:rPr>
        <w:t xml:space="preserve"> Bruce D. Gelb</w:t>
      </w:r>
      <w:r w:rsidR="00A84F82" w:rsidRPr="00444A65">
        <w:rPr>
          <w:rFonts w:ascii="Arial" w:hAnsi="Arial" w:cs="Arial"/>
          <w:vertAlign w:val="superscript"/>
        </w:rPr>
        <w:t>*</w:t>
      </w:r>
    </w:p>
    <w:p w14:paraId="657A0A28" w14:textId="678FB3B0" w:rsidR="009F2494" w:rsidRDefault="009F2494" w:rsidP="00043CF5">
      <w:pPr>
        <w:rPr>
          <w:rFonts w:ascii="Arial" w:hAnsi="Arial" w:cs="Arial"/>
          <w:color w:val="000000" w:themeColor="text1"/>
        </w:rPr>
      </w:pPr>
      <w:r w:rsidRPr="00444A65">
        <w:rPr>
          <w:rFonts w:ascii="Arial" w:hAnsi="Arial" w:cs="Arial"/>
          <w:color w:val="000000" w:themeColor="text1"/>
        </w:rPr>
        <w:t>† Contributed equally</w:t>
      </w:r>
    </w:p>
    <w:p w14:paraId="0EED601A" w14:textId="77777777" w:rsidR="0030655A" w:rsidRPr="00444A65" w:rsidRDefault="0030655A" w:rsidP="00043CF5">
      <w:pPr>
        <w:rPr>
          <w:rFonts w:ascii="Arial" w:hAnsi="Arial" w:cs="Arial"/>
          <w:color w:val="000000" w:themeColor="text1"/>
        </w:rPr>
      </w:pPr>
    </w:p>
    <w:p w14:paraId="007BEC15" w14:textId="77777777" w:rsidR="00D8137D" w:rsidRDefault="00B61ED0" w:rsidP="00043CF5">
      <w:pPr>
        <w:rPr>
          <w:rFonts w:ascii="Arial" w:hAnsi="Arial" w:cs="Arial"/>
          <w:b/>
          <w:color w:val="000000" w:themeColor="text1"/>
        </w:rPr>
      </w:pPr>
      <w:r w:rsidRPr="00444A65">
        <w:rPr>
          <w:rFonts w:ascii="Arial" w:hAnsi="Arial" w:cs="Arial"/>
          <w:b/>
          <w:color w:val="000000" w:themeColor="text1"/>
        </w:rPr>
        <w:t>Contact information</w:t>
      </w:r>
    </w:p>
    <w:p w14:paraId="39C84232" w14:textId="438C6DE8" w:rsidR="00B61ED0" w:rsidRDefault="00B61ED0" w:rsidP="00043CF5">
      <w:pPr>
        <w:rPr>
          <w:rStyle w:val="Hyperlink"/>
          <w:rFonts w:ascii="Arial" w:hAnsi="Arial" w:cs="Arial"/>
        </w:rPr>
      </w:pPr>
      <w:r w:rsidRPr="00444A65">
        <w:rPr>
          <w:rFonts w:ascii="Arial" w:hAnsi="Arial" w:cs="Arial"/>
          <w:b/>
          <w:color w:val="000000" w:themeColor="text1"/>
        </w:rPr>
        <w:t>*</w:t>
      </w:r>
      <w:hyperlink r:id="rId5" w:history="1">
        <w:r w:rsidR="007770A5" w:rsidRPr="0097278C">
          <w:rPr>
            <w:rStyle w:val="Hyperlink"/>
            <w:rFonts w:ascii="Arial" w:hAnsi="Arial" w:cs="Arial"/>
          </w:rPr>
          <w:t>bruce.gelb@mssm.edu</w:t>
        </w:r>
      </w:hyperlink>
    </w:p>
    <w:p w14:paraId="7D613A6A" w14:textId="77777777" w:rsidR="0030655A" w:rsidRPr="00444A65" w:rsidRDefault="0030655A" w:rsidP="00043CF5">
      <w:pPr>
        <w:rPr>
          <w:rFonts w:ascii="Arial" w:hAnsi="Arial" w:cs="Arial"/>
          <w:b/>
          <w:color w:val="000000" w:themeColor="text1"/>
        </w:rPr>
      </w:pPr>
    </w:p>
    <w:p w14:paraId="10A7A10A" w14:textId="77777777" w:rsidR="007770A5" w:rsidRDefault="002D0976" w:rsidP="00043CF5">
      <w:pPr>
        <w:rPr>
          <w:rFonts w:ascii="Arial" w:hAnsi="Arial" w:cs="Arial"/>
          <w:b/>
        </w:rPr>
      </w:pPr>
      <w:r w:rsidRPr="00444A65">
        <w:rPr>
          <w:rFonts w:ascii="Arial" w:hAnsi="Arial" w:cs="Arial"/>
          <w:b/>
        </w:rPr>
        <w:t>Target journal</w:t>
      </w:r>
    </w:p>
    <w:p w14:paraId="0D9E2C78" w14:textId="481960E9" w:rsidR="002D0976" w:rsidRPr="00F72B42" w:rsidRDefault="002D0976" w:rsidP="00043CF5">
      <w:pPr>
        <w:rPr>
          <w:rFonts w:ascii="Arial" w:hAnsi="Arial" w:cs="Arial"/>
          <w:i/>
        </w:rPr>
      </w:pPr>
      <w:r w:rsidRPr="00F72B42">
        <w:rPr>
          <w:rFonts w:ascii="Arial" w:hAnsi="Arial" w:cs="Arial"/>
          <w:i/>
        </w:rPr>
        <w:t>Genome Research</w:t>
      </w:r>
    </w:p>
    <w:p w14:paraId="14E4AD52" w14:textId="00DCC869" w:rsidR="00183BAE" w:rsidRDefault="00183BAE" w:rsidP="00043CF5">
      <w:pPr>
        <w:rPr>
          <w:rFonts w:ascii="Arial" w:hAnsi="Arial" w:cs="Arial"/>
        </w:rPr>
      </w:pPr>
    </w:p>
    <w:p w14:paraId="31010869" w14:textId="59B0FAE5" w:rsidR="00043CF5" w:rsidRPr="00D24CE3" w:rsidRDefault="00043CF5" w:rsidP="00043CF5">
      <w:pPr>
        <w:rPr>
          <w:rFonts w:ascii="Arial" w:hAnsi="Arial" w:cs="Arial"/>
          <w:b/>
        </w:rPr>
      </w:pPr>
      <w:r w:rsidRPr="00D24CE3">
        <w:rPr>
          <w:rFonts w:ascii="Arial" w:hAnsi="Arial" w:cs="Arial"/>
          <w:b/>
        </w:rPr>
        <w:t>Abstract</w:t>
      </w:r>
    </w:p>
    <w:p w14:paraId="7596154E" w14:textId="77777777" w:rsidR="00043CF5" w:rsidRDefault="00043CF5" w:rsidP="00043CF5">
      <w:pPr>
        <w:rPr>
          <w:rFonts w:ascii="Arial" w:hAnsi="Arial" w:cs="Arial"/>
        </w:rPr>
      </w:pPr>
    </w:p>
    <w:p w14:paraId="6CA5E983" w14:textId="77777777" w:rsidR="00043CF5" w:rsidRPr="00444A65" w:rsidRDefault="00043CF5" w:rsidP="00043CF5">
      <w:pPr>
        <w:rPr>
          <w:rFonts w:ascii="Arial" w:hAnsi="Arial" w:cs="Arial"/>
        </w:rPr>
      </w:pPr>
    </w:p>
    <w:p w14:paraId="23D9D5E4" w14:textId="77777777" w:rsidR="00183BAE" w:rsidRPr="00444A65" w:rsidRDefault="00183BAE" w:rsidP="00043CF5">
      <w:pPr>
        <w:rPr>
          <w:rFonts w:ascii="Arial" w:hAnsi="Arial" w:cs="Arial"/>
          <w:b/>
        </w:rPr>
      </w:pPr>
      <w:r w:rsidRPr="00444A65">
        <w:rPr>
          <w:rFonts w:ascii="Arial" w:hAnsi="Arial" w:cs="Arial"/>
          <w:b/>
        </w:rPr>
        <w:t>Introduction</w:t>
      </w:r>
    </w:p>
    <w:p w14:paraId="76EF6105" w14:textId="77777777" w:rsidR="00183BAE" w:rsidRPr="00444A65" w:rsidRDefault="00183BAE" w:rsidP="00043CF5">
      <w:pPr>
        <w:ind w:firstLine="720"/>
        <w:rPr>
          <w:rFonts w:ascii="Arial" w:hAnsi="Arial" w:cs="Arial"/>
        </w:rPr>
      </w:pPr>
      <w:r w:rsidRPr="00444A65">
        <w:rPr>
          <w:rFonts w:ascii="Arial" w:hAnsi="Arial" w:cs="Arial"/>
        </w:rPr>
        <w:t>Genomes evolve through mutation and selection. Mutations include single nucleotide variants (SNVs), short insertions and deletions (indels, ≤ 50-bp changes), and larger structural variations. Models of local indel mutation rates would serve as a powerful control for disease association studies as well as an invaluable tool for understanding evolution, especially in repetitive regions.</w:t>
      </w:r>
      <w:r w:rsidRPr="00444A65">
        <w:rPr>
          <w:rFonts w:ascii="Arial" w:hAnsi="Arial" w:cs="Arial"/>
        </w:rPr>
        <w:fldChar w:fldCharType="begin" w:fldLock="1"/>
      </w:r>
      <w:r w:rsidRPr="00444A65">
        <w:rPr>
          <w:rFonts w:ascii="Arial" w:hAnsi="Arial" w:cs="Arial"/>
        </w:rPr>
        <w:instrText>ADDIN CSL_CITATION {"citationItems":[{"id":"ITEM-1","itemData":{"DOI":"10.1016/j.tig.2013.04.005","ISSN":"01689525","PMID":"23684843","abstract":"All genetic variation arises via new mutations; therefore, determining the rate and biases for different classes of mutation is essential for understanding the genetics of human disease and evolution. Decades of mutation rate analyses have focused on a relatively small number of loci because of technical limitations. However, advances in sequencing technology have allowed for empirical assessments of genome-wide rates of mutation. Recent studies have shown that 76% of new mutations originate in the paternal lineage and provide unequivocal evidence for an increase in mutation with paternal age. Although most analyses have focused on single nucleotide variants (SNVs), studies have begun to provide insight into the mutation rate for other classes of variation, including copy number variants (CNVs), microsatellites, and mobile element insertions (MEIs). Here, we review the genome-wide analyses for the mutation rate of several types of variants and suggest areas for future research.","author":[{"dropping-particle":"","family":"Campbell","given":"Catarina D.","non-dropping-particle":"","parse-names":false,"suffix":""},{"dropping-particle":"","family":"Eichler","given":"Evan E.","non-dropping-particle":"","parse-names":false,"suffix":""}],"container-title":"Trends in Genetics","id":"ITEM-1","issue":"10","issued":{"date-parts":[["2013","10"]]},"page":"575-584","title":"Properties and rates of germline mutations in humans","type":"article-journal","volume":"29"},"uris":["http://www.mendeley.com/documents/?uuid=f1c06ee7-3034-38a9-a1e3-426e2c46df4d"]}],"mendeley":{"formattedCitation":"&lt;sup&gt;1&lt;/sup&gt;","plainTextFormattedCitation":"1","previouslyFormattedCitation":"&lt;sup&gt;1&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1</w:t>
      </w:r>
      <w:r w:rsidRPr="00444A65">
        <w:rPr>
          <w:rFonts w:ascii="Arial" w:hAnsi="Arial" w:cs="Arial"/>
        </w:rPr>
        <w:fldChar w:fldCharType="end"/>
      </w:r>
    </w:p>
    <w:p w14:paraId="5869EACF" w14:textId="39ED1436" w:rsidR="00183BAE" w:rsidRPr="00444A65" w:rsidRDefault="00183BAE" w:rsidP="00043CF5">
      <w:pPr>
        <w:ind w:firstLine="720"/>
        <w:rPr>
          <w:rFonts w:ascii="Arial" w:hAnsi="Arial" w:cs="Arial"/>
        </w:rPr>
      </w:pPr>
      <w:r w:rsidRPr="00444A65">
        <w:rPr>
          <w:rFonts w:ascii="Arial" w:hAnsi="Arial" w:cs="Arial"/>
        </w:rPr>
        <w:t xml:space="preserve">Modeling </w:t>
      </w:r>
      <w:r w:rsidRPr="00444A65">
        <w:rPr>
          <w:rFonts w:ascii="Arial" w:hAnsi="Arial" w:cs="Arial"/>
          <w:i/>
        </w:rPr>
        <w:t>de novo</w:t>
      </w:r>
      <w:r w:rsidRPr="00444A65">
        <w:rPr>
          <w:rFonts w:ascii="Arial" w:hAnsi="Arial" w:cs="Arial"/>
        </w:rPr>
        <w:t xml:space="preserve"> indels requires understanding the mutational mechanisms that birth them (</w:t>
      </w:r>
      <w:r w:rsidRPr="000A7F81">
        <w:rPr>
          <w:rFonts w:ascii="Arial" w:hAnsi="Arial" w:cs="Arial"/>
          <w:b/>
        </w:rPr>
        <w:t>Table 1</w:t>
      </w:r>
      <w:r w:rsidRPr="00444A65">
        <w:rPr>
          <w:rFonts w:ascii="Arial" w:hAnsi="Arial" w:cs="Arial"/>
        </w:rPr>
        <w:t>).</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w:t>
      </w:r>
      <w:r w:rsidR="00D55F22">
        <w:rPr>
          <w:rFonts w:ascii="Arial" w:hAnsi="Arial" w:cs="Arial"/>
        </w:rPr>
        <w:t>Indel m</w:t>
      </w:r>
      <w:r w:rsidRPr="00444A65">
        <w:rPr>
          <w:rFonts w:ascii="Arial" w:hAnsi="Arial" w:cs="Arial"/>
        </w:rPr>
        <w:t xml:space="preserve">echanisms can be investigated through associations with parental age, relative genomic distribution, local sequence context, and ancestry associations. Three quarters of </w:t>
      </w:r>
      <w:r w:rsidRPr="00444A65">
        <w:rPr>
          <w:rFonts w:ascii="Arial" w:hAnsi="Arial" w:cs="Arial"/>
          <w:i/>
        </w:rPr>
        <w:t>de novo</w:t>
      </w:r>
      <w:r w:rsidRPr="00444A65">
        <w:rPr>
          <w:rFonts w:ascii="Arial" w:hAnsi="Arial" w:cs="Arial"/>
        </w:rPr>
        <w:t xml:space="preserve"> indels arise through polymerase slippage, with the remaining quarter hypothesized to arise from double-strand break repair (</w:t>
      </w:r>
      <w:r w:rsidRPr="00444A65">
        <w:rPr>
          <w:rFonts w:ascii="Arial" w:hAnsi="Arial" w:cs="Arial"/>
          <w:i/>
        </w:rPr>
        <w:t>e.g.</w:t>
      </w:r>
      <w:r w:rsidRPr="00444A65">
        <w:rPr>
          <w:rFonts w:ascii="Arial" w:hAnsi="Arial" w:cs="Arial"/>
        </w:rPr>
        <w:t>, non-homologous end-joining) and/or unknown mechanisms.</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Polymerase slippage implies a replication-associated event consistent with spermatogenesis, yet previous studies failed to identify an association between</w:t>
      </w:r>
      <w:r w:rsidRPr="00444A65">
        <w:rPr>
          <w:rFonts w:ascii="Arial" w:hAnsi="Arial" w:cs="Arial"/>
          <w:i/>
        </w:rPr>
        <w:t xml:space="preserve"> de novo </w:t>
      </w:r>
      <w:r w:rsidRPr="00444A65">
        <w:rPr>
          <w:rFonts w:ascii="Arial" w:hAnsi="Arial" w:cs="Arial"/>
        </w:rPr>
        <w:t>indels and paternal age.</w:t>
      </w:r>
      <w:r w:rsidRPr="00444A65">
        <w:rPr>
          <w:rFonts w:ascii="Arial" w:hAnsi="Arial" w:cs="Arial"/>
        </w:rPr>
        <w:fldChar w:fldCharType="begin" w:fldLock="1"/>
      </w:r>
      <w:r w:rsidRPr="00444A65">
        <w:rPr>
          <w:rFonts w:ascii="Arial" w:hAnsi="Arial" w:cs="Arial"/>
        </w:rPr>
        <w:instrText>ADDIN CSL_CITATION {"citationItems":[{"id":"ITEM-1","itemData":{"DOI":"10.1101/gr.185041.114","ISSN":"1088-9051","PMID":"25883321","abstract":"Small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Research","id":"ITEM-1","issue":"6","issued":{"date-parts":[["2015","6"]]},"page":"792-801","title":"Characteristics of de novo structural changes in the human genome","type":"article-journal","volume":"25"},"uris":["http://www.mendeley.com/documents/?uuid=12a93df1-fa53-3099-9644-6bc112b64cd0"]},{"id":"ITEM-2","itemData":{"DOI":"10.1038/nature24018","ISSN":"0028-0836","abstract":"Whole-genome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-2","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3,4&lt;/sup&gt;","plainTextFormattedCitation":"3,4","previouslyFormattedCitation":"&lt;sup&gt;3,4&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3,4</w:t>
      </w:r>
      <w:r w:rsidRPr="00444A65">
        <w:rPr>
          <w:rFonts w:ascii="Arial" w:hAnsi="Arial" w:cs="Arial"/>
        </w:rPr>
        <w:fldChar w:fldCharType="end"/>
      </w:r>
      <w:r w:rsidRPr="00444A65">
        <w:rPr>
          <w:rFonts w:ascii="Arial" w:hAnsi="Arial" w:cs="Arial"/>
        </w:rPr>
        <w:t xml:space="preserve"> This could be attributable to a small sample size of parentally-assigned (</w:t>
      </w:r>
      <w:r w:rsidRPr="00444A65">
        <w:rPr>
          <w:rFonts w:ascii="Arial" w:hAnsi="Arial" w:cs="Arial"/>
          <w:i/>
        </w:rPr>
        <w:t>i.e.</w:t>
      </w:r>
      <w:r w:rsidRPr="00444A65">
        <w:rPr>
          <w:rFonts w:ascii="Arial" w:hAnsi="Arial" w:cs="Arial"/>
        </w:rPr>
        <w:t xml:space="preserve">, phased) indels or not applying previously defined indel classification techniques to the new data. Overall, these gaps in our understanding of </w:t>
      </w:r>
      <w:r w:rsidRPr="00444A65">
        <w:rPr>
          <w:rFonts w:ascii="Arial" w:hAnsi="Arial" w:cs="Arial"/>
          <w:i/>
        </w:rPr>
        <w:t>de novo</w:t>
      </w:r>
      <w:r w:rsidRPr="00444A65">
        <w:rPr>
          <w:rFonts w:ascii="Arial" w:hAnsi="Arial" w:cs="Arial"/>
        </w:rPr>
        <w:t xml:space="preserve"> indel mechanisms arise from small sample sizes or not applying indel classification techniques to newer data.</w:t>
      </w:r>
    </w:p>
    <w:p w14:paraId="7261F9E9" w14:textId="33E88D9C" w:rsidR="00183BAE" w:rsidRPr="00444A65" w:rsidRDefault="00183BAE" w:rsidP="00043CF5">
      <w:pPr>
        <w:ind w:firstLine="720"/>
        <w:rPr>
          <w:rFonts w:ascii="Arial" w:hAnsi="Arial" w:cs="Arial"/>
        </w:rPr>
      </w:pPr>
      <w:r w:rsidRPr="00444A65">
        <w:rPr>
          <w:rFonts w:ascii="Arial" w:hAnsi="Arial" w:cs="Arial"/>
        </w:rPr>
        <w:t xml:space="preserve">Here, we describe the feasibility of using low-coverage Pacific Biosciences long-read sequencing (N=10 trios) to phase </w:t>
      </w:r>
      <w:r w:rsidRPr="00444A65">
        <w:rPr>
          <w:rFonts w:ascii="Arial" w:hAnsi="Arial" w:cs="Arial"/>
          <w:i/>
        </w:rPr>
        <w:t>de novo</w:t>
      </w:r>
      <w:r w:rsidRPr="00444A65">
        <w:rPr>
          <w:rFonts w:ascii="Arial" w:hAnsi="Arial" w:cs="Arial"/>
        </w:rPr>
        <w:t xml:space="preserve"> SNVs and indels identified with </w:t>
      </w:r>
      <w:r w:rsidR="0047000C">
        <w:rPr>
          <w:rFonts w:ascii="Arial" w:hAnsi="Arial" w:cs="Arial"/>
        </w:rPr>
        <w:t xml:space="preserve">short-read </w:t>
      </w:r>
      <w:r w:rsidRPr="00444A65">
        <w:rPr>
          <w:rFonts w:ascii="Arial" w:hAnsi="Arial" w:cs="Arial"/>
        </w:rPr>
        <w:t>Illumina whole-genome sequencing (WGS). We use</w:t>
      </w:r>
      <w:r w:rsidR="00D1492D">
        <w:rPr>
          <w:rFonts w:ascii="Arial" w:hAnsi="Arial" w:cs="Arial"/>
        </w:rPr>
        <w:t>d</w:t>
      </w:r>
      <w:r w:rsidRPr="00444A65">
        <w:rPr>
          <w:rFonts w:ascii="Arial" w:hAnsi="Arial" w:cs="Arial"/>
        </w:rPr>
        <w:t xml:space="preserve"> these data as an orthogonal technology to validate previously observed associations between parental age and </w:t>
      </w:r>
      <w:r w:rsidRPr="00444A65">
        <w:rPr>
          <w:rFonts w:ascii="Arial" w:hAnsi="Arial" w:cs="Arial"/>
          <w:i/>
        </w:rPr>
        <w:t>de novo</w:t>
      </w:r>
      <w:r w:rsidRPr="00444A65">
        <w:rPr>
          <w:rFonts w:ascii="Arial" w:hAnsi="Arial" w:cs="Arial"/>
        </w:rPr>
        <w:t xml:space="preserve"> SNVs. </w:t>
      </w:r>
      <w:r w:rsidR="00DD5253">
        <w:rPr>
          <w:rFonts w:ascii="Arial" w:hAnsi="Arial" w:cs="Arial"/>
        </w:rPr>
        <w:t>W</w:t>
      </w:r>
      <w:r w:rsidRPr="00444A65">
        <w:rPr>
          <w:rFonts w:ascii="Arial" w:hAnsi="Arial" w:cs="Arial"/>
        </w:rPr>
        <w:t xml:space="preserve">e </w:t>
      </w:r>
      <w:r w:rsidR="00B41E4E">
        <w:rPr>
          <w:rFonts w:ascii="Arial" w:hAnsi="Arial" w:cs="Arial"/>
        </w:rPr>
        <w:t xml:space="preserve">then </w:t>
      </w:r>
      <w:r w:rsidRPr="00444A65">
        <w:rPr>
          <w:rFonts w:ascii="Arial" w:hAnsi="Arial" w:cs="Arial"/>
        </w:rPr>
        <w:t>develop</w:t>
      </w:r>
      <w:r w:rsidR="00D1492D">
        <w:rPr>
          <w:rFonts w:ascii="Arial" w:hAnsi="Arial" w:cs="Arial"/>
        </w:rPr>
        <w:t>ed</w:t>
      </w:r>
      <w:r w:rsidRPr="00444A65">
        <w:rPr>
          <w:rFonts w:ascii="Arial" w:hAnsi="Arial" w:cs="Arial"/>
        </w:rPr>
        <w:t xml:space="preserve"> an application programming interface </w:t>
      </w:r>
      <w:r w:rsidR="00765B03">
        <w:rPr>
          <w:rFonts w:ascii="Arial" w:hAnsi="Arial" w:cs="Arial"/>
        </w:rPr>
        <w:t>(</w:t>
      </w:r>
      <w:hyperlink r:id="rId6" w:history="1">
        <w:r w:rsidR="00765B03" w:rsidRPr="0097278C">
          <w:rPr>
            <w:rStyle w:val="Hyperlink"/>
            <w:rFonts w:ascii="Arial" w:hAnsi="Arial" w:cs="Arial"/>
          </w:rPr>
          <w:t>https://pypi.org/project/sorting-hat/</w:t>
        </w:r>
      </w:hyperlink>
      <w:r w:rsidR="00765B03">
        <w:rPr>
          <w:rFonts w:ascii="Arial" w:hAnsi="Arial" w:cs="Arial"/>
        </w:rPr>
        <w:t xml:space="preserve">) </w:t>
      </w:r>
      <w:r w:rsidRPr="00444A65">
        <w:rPr>
          <w:rFonts w:ascii="Arial" w:hAnsi="Arial" w:cs="Arial"/>
        </w:rPr>
        <w:t>to classify indels</w:t>
      </w:r>
      <w:r w:rsidR="00DD5253">
        <w:rPr>
          <w:rFonts w:ascii="Arial" w:hAnsi="Arial" w:cs="Arial"/>
        </w:rPr>
        <w:t xml:space="preserve"> </w:t>
      </w:r>
      <w:r w:rsidR="00766B8D">
        <w:rPr>
          <w:rFonts w:ascii="Arial" w:hAnsi="Arial" w:cs="Arial"/>
        </w:rPr>
        <w:t xml:space="preserve">based on sequence context. </w:t>
      </w:r>
      <w:r w:rsidR="003B08C5">
        <w:rPr>
          <w:rFonts w:ascii="Arial" w:hAnsi="Arial" w:cs="Arial"/>
        </w:rPr>
        <w:t xml:space="preserve">Finally, we </w:t>
      </w:r>
      <w:r w:rsidRPr="00444A65">
        <w:rPr>
          <w:rFonts w:ascii="Arial" w:hAnsi="Arial" w:cs="Arial"/>
        </w:rPr>
        <w:t>combine</w:t>
      </w:r>
      <w:r w:rsidR="00D1492D">
        <w:rPr>
          <w:rFonts w:ascii="Arial" w:hAnsi="Arial" w:cs="Arial"/>
        </w:rPr>
        <w:t>d</w:t>
      </w:r>
      <w:r w:rsidRPr="00444A65">
        <w:rPr>
          <w:rFonts w:ascii="Arial" w:hAnsi="Arial" w:cs="Arial"/>
        </w:rPr>
        <w:t xml:space="preserve"> the long-read </w:t>
      </w:r>
      <w:r w:rsidRPr="00444A65">
        <w:rPr>
          <w:rFonts w:ascii="Arial" w:hAnsi="Arial" w:cs="Arial"/>
          <w:i/>
        </w:rPr>
        <w:t>de novo</w:t>
      </w:r>
      <w:r w:rsidRPr="00444A65">
        <w:rPr>
          <w:rFonts w:ascii="Arial" w:hAnsi="Arial" w:cs="Arial"/>
        </w:rPr>
        <w:t xml:space="preserve"> indel results with data from Illumina read-pair tracing (N=308 trios) and three-generation haplotype phasing (N=202 families)</w:t>
      </w:r>
      <w:r w:rsidRPr="00444A65">
        <w:rPr>
          <w:rFonts w:ascii="Arial" w:hAnsi="Arial" w:cs="Arial"/>
        </w:rPr>
        <w:fldChar w:fldCharType="begin" w:fldLock="1"/>
      </w:r>
      <w:r w:rsidRPr="00444A65">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4&lt;/sup&gt;","plainTextFormattedCitation":"4","previouslyFormattedCitation":"&lt;sup&gt;4&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4</w:t>
      </w:r>
      <w:r w:rsidRPr="00444A65">
        <w:rPr>
          <w:rFonts w:ascii="Arial" w:hAnsi="Arial" w:cs="Arial"/>
        </w:rPr>
        <w:fldChar w:fldCharType="end"/>
      </w:r>
      <w:r w:rsidRPr="00444A65">
        <w:rPr>
          <w:rFonts w:ascii="Arial" w:hAnsi="Arial" w:cs="Arial"/>
        </w:rPr>
        <w:t xml:space="preserve"> to characterize indel mutagenesis.</w:t>
      </w:r>
    </w:p>
    <w:p w14:paraId="33BD635F" w14:textId="77777777" w:rsidR="00183BAE" w:rsidRPr="00444A65" w:rsidRDefault="00183BAE" w:rsidP="00043CF5">
      <w:pPr>
        <w:rPr>
          <w:rFonts w:ascii="Arial" w:hAnsi="Arial" w:cs="Arial"/>
          <w:b/>
        </w:rPr>
      </w:pPr>
    </w:p>
    <w:p w14:paraId="0399F394" w14:textId="77777777" w:rsidR="00183BAE" w:rsidRPr="00444A65" w:rsidRDefault="00183BAE" w:rsidP="00043CF5">
      <w:pPr>
        <w:rPr>
          <w:rFonts w:ascii="Arial" w:hAnsi="Arial" w:cs="Arial"/>
          <w:b/>
        </w:rPr>
      </w:pPr>
      <w:r w:rsidRPr="00444A65">
        <w:rPr>
          <w:rFonts w:ascii="Arial" w:hAnsi="Arial" w:cs="Arial"/>
          <w:b/>
        </w:rPr>
        <w:t>Methods</w:t>
      </w:r>
    </w:p>
    <w:p w14:paraId="442233DB" w14:textId="77777777" w:rsidR="00183BAE" w:rsidRPr="00444A65" w:rsidRDefault="00183BAE" w:rsidP="00043CF5">
      <w:pPr>
        <w:rPr>
          <w:rFonts w:ascii="Arial" w:hAnsi="Arial" w:cs="Arial"/>
        </w:rPr>
      </w:pPr>
    </w:p>
    <w:p w14:paraId="6F2C3026" w14:textId="77777777" w:rsidR="00183BAE" w:rsidRPr="00444A65" w:rsidRDefault="00183BAE" w:rsidP="00043CF5">
      <w:pPr>
        <w:rPr>
          <w:rFonts w:ascii="Arial" w:hAnsi="Arial" w:cs="Arial"/>
          <w:b/>
        </w:rPr>
      </w:pPr>
      <w:r w:rsidRPr="00444A65">
        <w:rPr>
          <w:rFonts w:ascii="Arial" w:hAnsi="Arial" w:cs="Arial"/>
          <w:b/>
        </w:rPr>
        <w:lastRenderedPageBreak/>
        <w:t xml:space="preserve">Subjects, whole genome sequencing and </w:t>
      </w:r>
      <w:r w:rsidRPr="00444A65">
        <w:rPr>
          <w:rFonts w:ascii="Arial" w:hAnsi="Arial" w:cs="Arial"/>
          <w:b/>
          <w:i/>
        </w:rPr>
        <w:t>de novo</w:t>
      </w:r>
      <w:r w:rsidRPr="00444A65">
        <w:rPr>
          <w:rFonts w:ascii="Arial" w:hAnsi="Arial" w:cs="Arial"/>
          <w:b/>
        </w:rPr>
        <w:t xml:space="preserve"> variant calling</w:t>
      </w:r>
    </w:p>
    <w:p w14:paraId="0D40089C" w14:textId="77777777" w:rsidR="00183BAE" w:rsidRPr="00444A65" w:rsidRDefault="00183BAE" w:rsidP="00043CF5">
      <w:pPr>
        <w:ind w:firstLine="720"/>
        <w:rPr>
          <w:rFonts w:ascii="Arial" w:hAnsi="Arial" w:cs="Arial"/>
        </w:rPr>
      </w:pPr>
      <w:r w:rsidRPr="00444A65">
        <w:rPr>
          <w:rFonts w:ascii="Arial" w:hAnsi="Arial" w:cs="Arial"/>
        </w:rPr>
        <w:t>Patients and parents (</w:t>
      </w:r>
      <w:r w:rsidRPr="00444A65">
        <w:rPr>
          <w:rFonts w:ascii="Arial" w:hAnsi="Arial" w:cs="Arial"/>
          <w:i/>
        </w:rPr>
        <w:t>i.e.</w:t>
      </w:r>
      <w:r w:rsidRPr="00444A65">
        <w:rPr>
          <w:rFonts w:ascii="Arial" w:hAnsi="Arial" w:cs="Arial"/>
        </w:rPr>
        <w:t>, trios) were enrolled in the Pediatric Cardiac Genomics Consortium (PCGC) Congenital Heart Disease Network Study (CHD GENES: ClinicalTrials.gov identifier NCT01196182).</w:t>
      </w:r>
      <w:r w:rsidRPr="00444A65">
        <w:rPr>
          <w:rFonts w:ascii="Arial" w:hAnsi="Arial" w:cs="Arial"/>
        </w:rPr>
        <w:fldChar w:fldCharType="begin" w:fldLock="1"/>
      </w:r>
      <w:r w:rsidRPr="00444A65">
        <w:rPr>
          <w:rFonts w:ascii="Arial" w:hAnsi="Arial" w:cs="Arial"/>
        </w:rPr>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5&lt;/sup&gt;","plainTextFormattedCitation":"5","previouslyFormattedCitation":"&lt;sup&gt;5&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5</w:t>
      </w:r>
      <w:r w:rsidRPr="00444A65">
        <w:rPr>
          <w:rFonts w:ascii="Arial" w:hAnsi="Arial" w:cs="Arial"/>
        </w:rPr>
        <w:fldChar w:fldCharType="end"/>
      </w:r>
      <w:r w:rsidRPr="00444A65">
        <w:rPr>
          <w:rFonts w:ascii="Arial" w:hAnsi="Arial" w:cs="Arial"/>
        </w:rPr>
        <w:t xml:space="preserve"> The protocols were approved by the Institutional Review Boards of Boston’s Children’s Hospital, Brigham and Women’s Hospital, Children’s Hospital of Los Angeles, Children’s Hospital of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6C97043D" w14:textId="77777777" w:rsidR="00183BAE" w:rsidRPr="00444A65" w:rsidRDefault="00183BAE" w:rsidP="00043CF5">
      <w:pPr>
        <w:ind w:firstLine="720"/>
        <w:rPr>
          <w:rFonts w:ascii="Arial" w:hAnsi="Arial" w:cs="Arial"/>
        </w:rPr>
      </w:pPr>
      <w:r w:rsidRPr="00444A65">
        <w:rPr>
          <w:rFonts w:ascii="Arial" w:hAnsi="Arial" w:cs="Arial"/>
          <w:i/>
          <w:u w:val="single"/>
        </w:rPr>
        <w:t>Pacific Biosciences (PacBio) long-read sequencing:</w:t>
      </w:r>
      <w:r w:rsidRPr="00444A65">
        <w:rPr>
          <w:rFonts w:ascii="Arial" w:hAnsi="Arial" w:cs="Arial"/>
        </w:rPr>
        <w:t xml:space="preserve"> DNAs of 10 PCGC patients were sequenced with PacBio long-read sequencing to a depth of 5x.</w:t>
      </w:r>
    </w:p>
    <w:p w14:paraId="788A8182" w14:textId="77777777" w:rsidR="00183BAE" w:rsidRPr="00444A65" w:rsidRDefault="00183BAE" w:rsidP="00043CF5">
      <w:pPr>
        <w:ind w:firstLine="720"/>
        <w:rPr>
          <w:rFonts w:ascii="Arial" w:hAnsi="Arial" w:cs="Arial"/>
        </w:rPr>
      </w:pPr>
      <w:r w:rsidRPr="00444A65">
        <w:rPr>
          <w:rFonts w:ascii="Arial" w:hAnsi="Arial" w:cs="Arial"/>
          <w:i/>
          <w:u w:val="single"/>
        </w:rPr>
        <w:t>Illumina short-read sequencing:</w:t>
      </w:r>
      <w:r w:rsidRPr="00444A65">
        <w:rPr>
          <w:rFonts w:ascii="Arial" w:hAnsi="Arial" w:cs="Arial"/>
        </w:rPr>
        <w:t xml:space="preserve"> DNAs of PCGC samples underwent short-read sequencing at the Baylor College of Medicine Genomic and RNA Profiling Core (n=XXX), the New York Genome Center (NYGC) Genomic Research Services (n=XXX), and the Broad Institute for Genomic Services (n=XXX) following the same protocol. Genomic DNAs from venous blood or saliva were prepared for sequencing using a PCR-free library preparation. All samples were sequenced on an Illumina Hi-</w:t>
      </w:r>
      <w:proofErr w:type="spellStart"/>
      <w:r w:rsidRPr="00444A65">
        <w:rPr>
          <w:rFonts w:ascii="Arial" w:hAnsi="Arial" w:cs="Arial"/>
        </w:rPr>
        <w:t>Seq</w:t>
      </w:r>
      <w:proofErr w:type="spellEnd"/>
      <w:r w:rsidRPr="00444A65">
        <w:rPr>
          <w:rFonts w:ascii="Arial" w:hAnsi="Arial" w:cs="Arial"/>
        </w:rPr>
        <w:t xml:space="preserve"> X Ten with 150-bp paired reads to a median depth &gt;30x per individual. Alignment, variant calling, and </w:t>
      </w:r>
      <w:r w:rsidRPr="00444A65">
        <w:rPr>
          <w:rFonts w:ascii="Arial" w:hAnsi="Arial" w:cs="Arial"/>
          <w:i/>
        </w:rPr>
        <w:t>de novo</w:t>
      </w:r>
      <w:r w:rsidRPr="00444A65">
        <w:rPr>
          <w:rFonts w:ascii="Arial" w:hAnsi="Arial" w:cs="Arial"/>
        </w:rPr>
        <w:t xml:space="preserve"> identification were performed as described previously (cite WGS paper).</w:t>
      </w:r>
    </w:p>
    <w:p w14:paraId="7497410C" w14:textId="77777777" w:rsidR="00183BAE" w:rsidRPr="00444A65" w:rsidRDefault="00183BAE" w:rsidP="00043CF5">
      <w:pPr>
        <w:rPr>
          <w:rFonts w:ascii="Arial" w:hAnsi="Arial" w:cs="Arial"/>
        </w:rPr>
      </w:pPr>
    </w:p>
    <w:p w14:paraId="69A76E0E" w14:textId="77777777" w:rsidR="00183BAE" w:rsidRPr="00444A65" w:rsidRDefault="00183BAE" w:rsidP="00043CF5">
      <w:pPr>
        <w:rPr>
          <w:rFonts w:ascii="Arial" w:hAnsi="Arial" w:cs="Arial"/>
        </w:rPr>
      </w:pPr>
      <w:r w:rsidRPr="00444A65">
        <w:rPr>
          <w:rFonts w:ascii="Arial" w:hAnsi="Arial" w:cs="Arial"/>
          <w:b/>
        </w:rPr>
        <w:t>Phasing</w:t>
      </w:r>
    </w:p>
    <w:p w14:paraId="5736034C" w14:textId="77777777" w:rsidR="00183BAE" w:rsidRPr="00444A65" w:rsidRDefault="00183BAE" w:rsidP="00043CF5">
      <w:pPr>
        <w:ind w:firstLine="720"/>
        <w:rPr>
          <w:rFonts w:ascii="Arial" w:hAnsi="Arial" w:cs="Arial"/>
        </w:rPr>
      </w:pPr>
      <w:proofErr w:type="spellStart"/>
      <w:r w:rsidRPr="00444A65">
        <w:rPr>
          <w:rFonts w:ascii="Arial" w:hAnsi="Arial" w:cs="Arial"/>
        </w:rPr>
        <w:t>Whatshap</w:t>
      </w:r>
      <w:proofErr w:type="spellEnd"/>
      <w:r w:rsidRPr="00444A65">
        <w:rPr>
          <w:rFonts w:ascii="Arial" w:hAnsi="Arial" w:cs="Arial"/>
        </w:rPr>
        <w:t xml:space="preserve"> (0.16) was used to phase DNVs through read-back phasing.</w:t>
      </w:r>
      <w:r w:rsidRPr="00444A65">
        <w:rPr>
          <w:rFonts w:ascii="Arial" w:hAnsi="Arial" w:cs="Arial"/>
        </w:rPr>
        <w:fldChar w:fldCharType="begin" w:fldLock="1"/>
      </w:r>
      <w:r w:rsidRPr="00444A65">
        <w:rPr>
          <w:rFonts w:ascii="Arial" w:hAnsi="Arial" w:cs="Arial"/>
        </w:rPr>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6&lt;/sup&gt;","plainTextFormattedCitation":"6","previouslyFormattedCitation":"&lt;sup&gt;6&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6</w:t>
      </w:r>
      <w:r w:rsidRPr="00444A65">
        <w:rPr>
          <w:rFonts w:ascii="Arial" w:hAnsi="Arial" w:cs="Arial"/>
        </w:rPr>
        <w:fldChar w:fldCharType="end"/>
      </w:r>
      <w:r w:rsidRPr="00444A65">
        <w:rPr>
          <w:rFonts w:ascii="Arial" w:hAnsi="Arial" w:cs="Arial"/>
        </w:rPr>
        <w:t xml:space="preserve"> Inputs were either the short- and long-read alignment files, the trio VCF generated from Illumina short-read sequencing. Indels were used for short- but not long-read phasing (</w:t>
      </w:r>
      <w:r w:rsidRPr="00444A65">
        <w:rPr>
          <w:rFonts w:ascii="Arial" w:hAnsi="Arial" w:cs="Arial"/>
          <w:i/>
        </w:rPr>
        <w:t>i.e.</w:t>
      </w:r>
      <w:r w:rsidRPr="00444A65">
        <w:rPr>
          <w:rFonts w:ascii="Arial" w:hAnsi="Arial" w:cs="Arial"/>
        </w:rPr>
        <w:t xml:space="preserve">, did not use </w:t>
      </w:r>
      <w:proofErr w:type="spellStart"/>
      <w:r w:rsidRPr="00444A65">
        <w:rPr>
          <w:rFonts w:ascii="Arial" w:hAnsi="Arial" w:cs="Arial"/>
        </w:rPr>
        <w:t>whatshap</w:t>
      </w:r>
      <w:proofErr w:type="spellEnd"/>
      <w:r w:rsidRPr="00444A65">
        <w:rPr>
          <w:rFonts w:ascii="Arial" w:hAnsi="Arial" w:cs="Arial"/>
        </w:rPr>
        <w:t xml:space="preserve"> --indel flag for PacBio data). The output was a phased VCF, with the full trio and the proband’s variants phased.</w:t>
      </w:r>
    </w:p>
    <w:p w14:paraId="4E29703F" w14:textId="77777777" w:rsidR="00183BAE" w:rsidRPr="00444A65" w:rsidRDefault="00183BAE" w:rsidP="00043CF5">
      <w:pPr>
        <w:ind w:firstLine="720"/>
        <w:rPr>
          <w:rFonts w:ascii="Arial" w:hAnsi="Arial" w:cs="Arial"/>
        </w:rPr>
      </w:pPr>
      <w:r w:rsidRPr="00444A65">
        <w:rPr>
          <w:rFonts w:ascii="Arial" w:hAnsi="Arial" w:cs="Arial"/>
        </w:rPr>
        <w:t xml:space="preserve">Following phasing, DNVs were programmatically assigned to the parent of origin. </w:t>
      </w:r>
      <w:proofErr w:type="spellStart"/>
      <w:r w:rsidRPr="00444A65">
        <w:rPr>
          <w:rFonts w:ascii="Arial" w:hAnsi="Arial" w:cs="Arial"/>
        </w:rPr>
        <w:t>Whasthap</w:t>
      </w:r>
      <w:proofErr w:type="spellEnd"/>
      <w:r w:rsidRPr="00444A65">
        <w:rPr>
          <w:rFonts w:ascii="Arial" w:hAnsi="Arial" w:cs="Arial"/>
        </w:rPr>
        <w:t xml:space="preserve"> was used to generate a GTF from the phased VCF, where the GTF genomic coordinates represented haplotype blocks of contiguously phased variants. DNVs were assigned to a parent of origin if ≥85% of informative variants in (</w:t>
      </w:r>
      <w:r w:rsidRPr="00444A65">
        <w:rPr>
          <w:rFonts w:ascii="Arial" w:hAnsi="Arial" w:cs="Arial"/>
          <w:i/>
        </w:rPr>
        <w:t>i.e.</w:t>
      </w:r>
      <w:r w:rsidRPr="00444A65">
        <w:rPr>
          <w:rFonts w:ascii="Arial" w:hAnsi="Arial" w:cs="Arial"/>
        </w:rPr>
        <w:t>, variants in a haplotype block) were assigned to that parent.</w:t>
      </w:r>
    </w:p>
    <w:p w14:paraId="26C40179" w14:textId="5BB8971A" w:rsidR="00183BAE" w:rsidRDefault="00183BAE" w:rsidP="00043CF5">
      <w:pPr>
        <w:ind w:firstLine="720"/>
        <w:rPr>
          <w:rFonts w:ascii="Arial" w:hAnsi="Arial" w:cs="Arial"/>
        </w:rPr>
      </w:pPr>
      <w:r w:rsidRPr="00444A65">
        <w:rPr>
          <w:rFonts w:ascii="Arial" w:hAnsi="Arial" w:cs="Arial"/>
        </w:rPr>
        <w:t xml:space="preserve">For PacBio data, </w:t>
      </w:r>
      <w:r w:rsidRPr="00444A65">
        <w:rPr>
          <w:rFonts w:ascii="Arial" w:hAnsi="Arial" w:cs="Arial"/>
          <w:i/>
        </w:rPr>
        <w:t>de novo</w:t>
      </w:r>
      <w:r w:rsidRPr="00444A65">
        <w:rPr>
          <w:rFonts w:ascii="Arial" w:hAnsi="Arial" w:cs="Arial"/>
        </w:rPr>
        <w:t xml:space="preserve"> indels were phased manually with the Integrative Genomics Viewer (IGV).</w:t>
      </w:r>
      <w:r w:rsidRPr="00444A65">
        <w:rPr>
          <w:rFonts w:ascii="Arial" w:hAnsi="Arial" w:cs="Arial"/>
        </w:rPr>
        <w:fldChar w:fldCharType="begin" w:fldLock="1"/>
      </w:r>
      <w:r w:rsidRPr="00444A65">
        <w:rPr>
          <w:rFonts w:ascii="Arial" w:hAnsi="Arial" w:cs="Arial"/>
        </w:rPr>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7&lt;/sup&gt;","plainTextFormattedCitation":"7","previouslyFormattedCitation":"&lt;sup&gt;7&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7</w:t>
      </w:r>
      <w:r w:rsidRPr="00444A65">
        <w:rPr>
          <w:rFonts w:ascii="Arial" w:hAnsi="Arial" w:cs="Arial"/>
        </w:rPr>
        <w:fldChar w:fldCharType="end"/>
      </w:r>
      <w:r w:rsidRPr="00444A65">
        <w:rPr>
          <w:rFonts w:ascii="Arial" w:hAnsi="Arial" w:cs="Arial"/>
        </w:rPr>
        <w:t xml:space="preserve"> For each </w:t>
      </w:r>
      <w:r w:rsidRPr="00444A65">
        <w:rPr>
          <w:rFonts w:ascii="Arial" w:hAnsi="Arial" w:cs="Arial"/>
          <w:i/>
        </w:rPr>
        <w:t>de novo</w:t>
      </w:r>
      <w:r w:rsidRPr="00444A65">
        <w:rPr>
          <w:rFonts w:ascii="Arial" w:hAnsi="Arial" w:cs="Arial"/>
        </w:rPr>
        <w:t xml:space="preserve"> indel, we identified the 2-5 highest confidence reads (with Reference/Alternative alleles). These reads were highlighted with IGV and we identified inherited single nucleotide variants (SNVs) on the informative reads. We then assigned the </w:t>
      </w:r>
      <w:r w:rsidRPr="00444A65">
        <w:rPr>
          <w:rFonts w:ascii="Arial" w:hAnsi="Arial" w:cs="Arial"/>
          <w:i/>
        </w:rPr>
        <w:t>de nov</w:t>
      </w:r>
      <w:bookmarkStart w:id="0" w:name="_GoBack"/>
      <w:bookmarkEnd w:id="0"/>
      <w:r w:rsidRPr="00444A65">
        <w:rPr>
          <w:rFonts w:ascii="Arial" w:hAnsi="Arial" w:cs="Arial"/>
          <w:i/>
        </w:rPr>
        <w:t xml:space="preserve">o </w:t>
      </w:r>
      <w:r w:rsidRPr="00444A65">
        <w:rPr>
          <w:rFonts w:ascii="Arial" w:hAnsi="Arial" w:cs="Arial"/>
        </w:rPr>
        <w:t xml:space="preserve">indel to the parent of origin if all SNVs on the informative reads were in agreement. We validated this heuristic approach with the </w:t>
      </w:r>
      <w:r w:rsidRPr="00444A65">
        <w:rPr>
          <w:rFonts w:ascii="Arial" w:hAnsi="Arial" w:cs="Arial"/>
          <w:i/>
        </w:rPr>
        <w:t>de novo</w:t>
      </w:r>
      <w:r w:rsidRPr="00444A65">
        <w:rPr>
          <w:rFonts w:ascii="Arial" w:hAnsi="Arial" w:cs="Arial"/>
        </w:rPr>
        <w:t xml:space="preserve"> indels phased using Illumina short-read sequencing. IGV plots used for </w:t>
      </w:r>
      <w:r w:rsidRPr="00444A65">
        <w:rPr>
          <w:rFonts w:ascii="Arial" w:hAnsi="Arial" w:cs="Arial"/>
          <w:i/>
        </w:rPr>
        <w:t>de novo</w:t>
      </w:r>
      <w:r w:rsidRPr="00444A65">
        <w:rPr>
          <w:rFonts w:ascii="Arial" w:hAnsi="Arial" w:cs="Arial"/>
        </w:rPr>
        <w:t xml:space="preserve"> indel phasing are provided in the code repository (see </w:t>
      </w:r>
      <w:r w:rsidRPr="00444A65">
        <w:rPr>
          <w:rFonts w:ascii="Arial" w:hAnsi="Arial" w:cs="Arial"/>
          <w:b/>
        </w:rPr>
        <w:t>URLs</w:t>
      </w:r>
      <w:r w:rsidRPr="00444A65">
        <w:rPr>
          <w:rFonts w:ascii="Arial" w:hAnsi="Arial" w:cs="Arial"/>
        </w:rPr>
        <w:t>).</w:t>
      </w:r>
    </w:p>
    <w:p w14:paraId="538996D6" w14:textId="60C152C8" w:rsidR="00E9253D" w:rsidRDefault="00687BC2" w:rsidP="00043CF5">
      <w:pPr>
        <w:ind w:firstLine="720"/>
        <w:rPr>
          <w:rFonts w:ascii="Arial" w:hAnsi="Arial" w:cs="Arial"/>
        </w:rPr>
      </w:pPr>
      <w:r>
        <w:rPr>
          <w:rFonts w:ascii="Arial" w:hAnsi="Arial" w:cs="Arial"/>
        </w:rPr>
        <w:t>T</w:t>
      </w:r>
      <w:r w:rsidR="00E9253D">
        <w:rPr>
          <w:rFonts w:ascii="Arial" w:hAnsi="Arial" w:cs="Arial"/>
        </w:rPr>
        <w:t xml:space="preserve">hree-generation haplotype phasing </w:t>
      </w:r>
      <w:r w:rsidR="00D67FC7">
        <w:rPr>
          <w:rFonts w:ascii="Arial" w:hAnsi="Arial" w:cs="Arial"/>
        </w:rPr>
        <w:t xml:space="preserve">results were downloaded from Supplemental </w:t>
      </w:r>
      <w:r w:rsidR="00AD2D19">
        <w:rPr>
          <w:rFonts w:ascii="Arial" w:hAnsi="Arial" w:cs="Arial"/>
        </w:rPr>
        <w:t>Data</w:t>
      </w:r>
      <w:r w:rsidR="00D67FC7">
        <w:rPr>
          <w:rFonts w:ascii="Arial" w:hAnsi="Arial" w:cs="Arial"/>
        </w:rPr>
        <w:t>.</w:t>
      </w:r>
      <w:r w:rsidR="00635ABA">
        <w:rPr>
          <w:rFonts w:ascii="Arial" w:hAnsi="Arial" w:cs="Arial"/>
        </w:rPr>
        <w:fldChar w:fldCharType="begin" w:fldLock="1"/>
      </w:r>
      <w:r w:rsidR="00635ABA">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4&lt;/sup&gt;","plainTextFormattedCitation":"4"},"properties":{"noteIndex":0},"schema":"https://github.com/citation-style-language/schema/raw/master/csl-citation.json"}</w:instrText>
      </w:r>
      <w:r w:rsidR="00635ABA">
        <w:rPr>
          <w:rFonts w:ascii="Arial" w:hAnsi="Arial" w:cs="Arial"/>
        </w:rPr>
        <w:fldChar w:fldCharType="separate"/>
      </w:r>
      <w:r w:rsidR="00635ABA" w:rsidRPr="00635ABA">
        <w:rPr>
          <w:rFonts w:ascii="Arial" w:hAnsi="Arial" w:cs="Arial"/>
          <w:noProof/>
          <w:vertAlign w:val="superscript"/>
        </w:rPr>
        <w:t>4</w:t>
      </w:r>
      <w:r w:rsidR="00635ABA">
        <w:rPr>
          <w:rFonts w:ascii="Arial" w:hAnsi="Arial" w:cs="Arial"/>
        </w:rPr>
        <w:fldChar w:fldCharType="end"/>
      </w:r>
    </w:p>
    <w:p w14:paraId="6ED0FC04" w14:textId="77EEE649" w:rsidR="0097143B" w:rsidRDefault="0097143B" w:rsidP="00043CF5">
      <w:pPr>
        <w:rPr>
          <w:rFonts w:ascii="Arial" w:hAnsi="Arial" w:cs="Arial"/>
        </w:rPr>
      </w:pPr>
    </w:p>
    <w:p w14:paraId="445E4717" w14:textId="77777777" w:rsidR="0097143B" w:rsidRPr="0097143B" w:rsidRDefault="0097143B" w:rsidP="00043CF5">
      <w:pPr>
        <w:rPr>
          <w:rFonts w:ascii="Arial" w:hAnsi="Arial" w:cs="Arial"/>
          <w:b/>
        </w:rPr>
      </w:pPr>
      <w:r w:rsidRPr="0097143B">
        <w:rPr>
          <w:rFonts w:ascii="Arial" w:hAnsi="Arial" w:cs="Arial"/>
          <w:b/>
        </w:rPr>
        <w:t>URLS</w:t>
      </w:r>
    </w:p>
    <w:p w14:paraId="23056A32" w14:textId="55F3D155" w:rsidR="0097143B" w:rsidRDefault="0097143B" w:rsidP="00043CF5">
      <w:pPr>
        <w:rPr>
          <w:rFonts w:ascii="Arial" w:hAnsi="Arial" w:cs="Arial"/>
        </w:rPr>
      </w:pPr>
      <w:r w:rsidRPr="0097143B">
        <w:rPr>
          <w:rFonts w:ascii="Arial" w:hAnsi="Arial" w:cs="Arial"/>
        </w:rPr>
        <w:t xml:space="preserve">Code: </w:t>
      </w:r>
      <w:hyperlink r:id="rId7" w:history="1">
        <w:r w:rsidRPr="0097278C">
          <w:rPr>
            <w:rStyle w:val="Hyperlink"/>
            <w:rFonts w:ascii="Arial" w:hAnsi="Arial" w:cs="Arial"/>
          </w:rPr>
          <w:t>https://github.com/allisonseiden/longreadclustersequencing/</w:t>
        </w:r>
      </w:hyperlink>
    </w:p>
    <w:p w14:paraId="19008DE9" w14:textId="5C625E51" w:rsidR="00183BAE" w:rsidRDefault="00183BAE" w:rsidP="006C021D">
      <w:pPr>
        <w:widowControl w:val="0"/>
        <w:autoSpaceDE w:val="0"/>
        <w:autoSpaceDN w:val="0"/>
        <w:adjustRightInd w:val="0"/>
        <w:rPr>
          <w:rFonts w:ascii="Arial" w:hAnsi="Arial" w:cs="Arial"/>
        </w:rPr>
      </w:pPr>
    </w:p>
    <w:p w14:paraId="341671BC" w14:textId="7D42FDE4" w:rsidR="006C021D" w:rsidRPr="00F93C62" w:rsidRDefault="00F93C62" w:rsidP="006C021D">
      <w:pPr>
        <w:widowControl w:val="0"/>
        <w:autoSpaceDE w:val="0"/>
        <w:autoSpaceDN w:val="0"/>
        <w:adjustRightInd w:val="0"/>
        <w:rPr>
          <w:rFonts w:ascii="Arial" w:hAnsi="Arial" w:cs="Arial"/>
          <w:b/>
        </w:rPr>
      </w:pPr>
      <w:r>
        <w:rPr>
          <w:rFonts w:ascii="Arial" w:hAnsi="Arial" w:cs="Arial"/>
          <w:b/>
        </w:rPr>
        <w:t>References</w:t>
      </w:r>
    </w:p>
    <w:p w14:paraId="2FA2894E" w14:textId="26F20ACB" w:rsidR="00635ABA" w:rsidRPr="00635ABA" w:rsidRDefault="00A35644" w:rsidP="00635ABA">
      <w:pPr>
        <w:widowControl w:val="0"/>
        <w:autoSpaceDE w:val="0"/>
        <w:autoSpaceDN w:val="0"/>
        <w:adjustRightInd w:val="0"/>
        <w:ind w:left="640" w:hanging="640"/>
        <w:rPr>
          <w:rFonts w:ascii="Arial" w:hAnsi="Arial" w:cs="Arial"/>
          <w:noProof/>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635ABA" w:rsidRPr="00635ABA">
        <w:rPr>
          <w:rFonts w:ascii="Arial" w:hAnsi="Arial" w:cs="Arial"/>
          <w:noProof/>
        </w:rPr>
        <w:t>1.</w:t>
      </w:r>
      <w:r w:rsidR="00635ABA" w:rsidRPr="00635ABA">
        <w:rPr>
          <w:rFonts w:ascii="Arial" w:hAnsi="Arial" w:cs="Arial"/>
          <w:noProof/>
        </w:rPr>
        <w:tab/>
        <w:t xml:space="preserve">Campbell, C. D. &amp; Eichler, E. E. Properties and rates of germline mutations in humans. </w:t>
      </w:r>
      <w:r w:rsidR="00635ABA" w:rsidRPr="00635ABA">
        <w:rPr>
          <w:rFonts w:ascii="Arial" w:hAnsi="Arial" w:cs="Arial"/>
          <w:i/>
          <w:iCs/>
          <w:noProof/>
        </w:rPr>
        <w:t>Trends Genet.</w:t>
      </w:r>
      <w:r w:rsidR="00635ABA" w:rsidRPr="00635ABA">
        <w:rPr>
          <w:rFonts w:ascii="Arial" w:hAnsi="Arial" w:cs="Arial"/>
          <w:noProof/>
        </w:rPr>
        <w:t xml:space="preserve"> </w:t>
      </w:r>
      <w:r w:rsidR="00635ABA" w:rsidRPr="00635ABA">
        <w:rPr>
          <w:rFonts w:ascii="Arial" w:hAnsi="Arial" w:cs="Arial"/>
          <w:b/>
          <w:bCs/>
          <w:noProof/>
        </w:rPr>
        <w:t>29,</w:t>
      </w:r>
      <w:r w:rsidR="00635ABA" w:rsidRPr="00635ABA">
        <w:rPr>
          <w:rFonts w:ascii="Arial" w:hAnsi="Arial" w:cs="Arial"/>
          <w:noProof/>
        </w:rPr>
        <w:t xml:space="preserve"> 575–584 (2013).</w:t>
      </w:r>
    </w:p>
    <w:p w14:paraId="097A5074"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2.</w:t>
      </w:r>
      <w:r w:rsidRPr="00635ABA">
        <w:rPr>
          <w:rFonts w:ascii="Arial" w:hAnsi="Arial" w:cs="Arial"/>
          <w:noProof/>
        </w:rPr>
        <w:tab/>
        <w:t xml:space="preserve">Montgomery, S. B. </w:t>
      </w:r>
      <w:r w:rsidRPr="00635ABA">
        <w:rPr>
          <w:rFonts w:ascii="Arial" w:hAnsi="Arial" w:cs="Arial"/>
          <w:i/>
          <w:iCs/>
          <w:noProof/>
        </w:rPr>
        <w:t>et al.</w:t>
      </w:r>
      <w:r w:rsidRPr="00635ABA">
        <w:rPr>
          <w:rFonts w:ascii="Arial" w:hAnsi="Arial" w:cs="Arial"/>
          <w:noProof/>
        </w:rPr>
        <w:t xml:space="preserve"> The origin, evolution, and functional impact of short insertion-deletion variants identified in 179 human genomes. </w:t>
      </w:r>
      <w:r w:rsidRPr="00635ABA">
        <w:rPr>
          <w:rFonts w:ascii="Arial" w:hAnsi="Arial" w:cs="Arial"/>
          <w:i/>
          <w:iCs/>
          <w:noProof/>
        </w:rPr>
        <w:t>Genome Res.</w:t>
      </w:r>
      <w:r w:rsidRPr="00635ABA">
        <w:rPr>
          <w:rFonts w:ascii="Arial" w:hAnsi="Arial" w:cs="Arial"/>
          <w:noProof/>
        </w:rPr>
        <w:t xml:space="preserve"> </w:t>
      </w:r>
      <w:r w:rsidRPr="00635ABA">
        <w:rPr>
          <w:rFonts w:ascii="Arial" w:hAnsi="Arial" w:cs="Arial"/>
          <w:b/>
          <w:bCs/>
          <w:noProof/>
        </w:rPr>
        <w:t>23,</w:t>
      </w:r>
      <w:r w:rsidRPr="00635ABA">
        <w:rPr>
          <w:rFonts w:ascii="Arial" w:hAnsi="Arial" w:cs="Arial"/>
          <w:noProof/>
        </w:rPr>
        <w:t xml:space="preserve"> 749–761 (2013).</w:t>
      </w:r>
    </w:p>
    <w:p w14:paraId="346D20D2"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3.</w:t>
      </w:r>
      <w:r w:rsidRPr="00635ABA">
        <w:rPr>
          <w:rFonts w:ascii="Arial" w:hAnsi="Arial" w:cs="Arial"/>
          <w:noProof/>
        </w:rPr>
        <w:tab/>
        <w:t xml:space="preserve">Kloosterman, W. P. </w:t>
      </w:r>
      <w:r w:rsidRPr="00635ABA">
        <w:rPr>
          <w:rFonts w:ascii="Arial" w:hAnsi="Arial" w:cs="Arial"/>
          <w:i/>
          <w:iCs/>
          <w:noProof/>
        </w:rPr>
        <w:t>et al.</w:t>
      </w:r>
      <w:r w:rsidRPr="00635ABA">
        <w:rPr>
          <w:rFonts w:ascii="Arial" w:hAnsi="Arial" w:cs="Arial"/>
          <w:noProof/>
        </w:rPr>
        <w:t xml:space="preserve"> Characteristics of de novo structural changes in the human genome. </w:t>
      </w:r>
      <w:r w:rsidRPr="00635ABA">
        <w:rPr>
          <w:rFonts w:ascii="Arial" w:hAnsi="Arial" w:cs="Arial"/>
          <w:i/>
          <w:iCs/>
          <w:noProof/>
        </w:rPr>
        <w:t>Genome Res.</w:t>
      </w:r>
      <w:r w:rsidRPr="00635ABA">
        <w:rPr>
          <w:rFonts w:ascii="Arial" w:hAnsi="Arial" w:cs="Arial"/>
          <w:noProof/>
        </w:rPr>
        <w:t xml:space="preserve"> </w:t>
      </w:r>
      <w:r w:rsidRPr="00635ABA">
        <w:rPr>
          <w:rFonts w:ascii="Arial" w:hAnsi="Arial" w:cs="Arial"/>
          <w:b/>
          <w:bCs/>
          <w:noProof/>
        </w:rPr>
        <w:t>25,</w:t>
      </w:r>
      <w:r w:rsidRPr="00635ABA">
        <w:rPr>
          <w:rFonts w:ascii="Arial" w:hAnsi="Arial" w:cs="Arial"/>
          <w:noProof/>
        </w:rPr>
        <w:t xml:space="preserve"> 792–801 (2015).</w:t>
      </w:r>
    </w:p>
    <w:p w14:paraId="5990F859"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4.</w:t>
      </w:r>
      <w:r w:rsidRPr="00635ABA">
        <w:rPr>
          <w:rFonts w:ascii="Arial" w:hAnsi="Arial" w:cs="Arial"/>
          <w:noProof/>
        </w:rPr>
        <w:tab/>
        <w:t xml:space="preserve">Jónsson, H. </w:t>
      </w:r>
      <w:r w:rsidRPr="00635ABA">
        <w:rPr>
          <w:rFonts w:ascii="Arial" w:hAnsi="Arial" w:cs="Arial"/>
          <w:i/>
          <w:iCs/>
          <w:noProof/>
        </w:rPr>
        <w:t>et al.</w:t>
      </w:r>
      <w:r w:rsidRPr="00635ABA">
        <w:rPr>
          <w:rFonts w:ascii="Arial" w:hAnsi="Arial" w:cs="Arial"/>
          <w:noProof/>
        </w:rPr>
        <w:t xml:space="preserve"> Parental influence on human germline de novo mutations in 1,548 trios from Iceland. </w:t>
      </w:r>
      <w:r w:rsidRPr="00635ABA">
        <w:rPr>
          <w:rFonts w:ascii="Arial" w:hAnsi="Arial" w:cs="Arial"/>
          <w:i/>
          <w:iCs/>
          <w:noProof/>
        </w:rPr>
        <w:t>Nature</w:t>
      </w:r>
      <w:r w:rsidRPr="00635ABA">
        <w:rPr>
          <w:rFonts w:ascii="Arial" w:hAnsi="Arial" w:cs="Arial"/>
          <w:noProof/>
        </w:rPr>
        <w:t xml:space="preserve"> </w:t>
      </w:r>
      <w:r w:rsidRPr="00635ABA">
        <w:rPr>
          <w:rFonts w:ascii="Arial" w:hAnsi="Arial" w:cs="Arial"/>
          <w:b/>
          <w:bCs/>
          <w:noProof/>
        </w:rPr>
        <w:t>549,</w:t>
      </w:r>
      <w:r w:rsidRPr="00635ABA">
        <w:rPr>
          <w:rFonts w:ascii="Arial" w:hAnsi="Arial" w:cs="Arial"/>
          <w:noProof/>
        </w:rPr>
        <w:t xml:space="preserve"> 519–522 (2017).</w:t>
      </w:r>
    </w:p>
    <w:p w14:paraId="299442EE"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5.</w:t>
      </w:r>
      <w:r w:rsidRPr="00635ABA">
        <w:rPr>
          <w:rFonts w:ascii="Arial" w:hAnsi="Arial" w:cs="Arial"/>
          <w:noProof/>
        </w:rPr>
        <w:tab/>
        <w:t xml:space="preserve">Gelb, B. </w:t>
      </w:r>
      <w:r w:rsidRPr="00635ABA">
        <w:rPr>
          <w:rFonts w:ascii="Arial" w:hAnsi="Arial" w:cs="Arial"/>
          <w:i/>
          <w:iCs/>
          <w:noProof/>
        </w:rPr>
        <w:t>et al.</w:t>
      </w:r>
      <w:r w:rsidRPr="00635ABA">
        <w:rPr>
          <w:rFonts w:ascii="Arial" w:hAnsi="Arial" w:cs="Arial"/>
          <w:noProof/>
        </w:rPr>
        <w:t xml:space="preserve"> The Congenital Heart Disease Genetic Network Study: rationale, design, and early results. </w:t>
      </w:r>
      <w:r w:rsidRPr="00635ABA">
        <w:rPr>
          <w:rFonts w:ascii="Arial" w:hAnsi="Arial" w:cs="Arial"/>
          <w:i/>
          <w:iCs/>
          <w:noProof/>
        </w:rPr>
        <w:t>Circ. Res.</w:t>
      </w:r>
      <w:r w:rsidRPr="00635ABA">
        <w:rPr>
          <w:rFonts w:ascii="Arial" w:hAnsi="Arial" w:cs="Arial"/>
          <w:noProof/>
        </w:rPr>
        <w:t xml:space="preserve"> </w:t>
      </w:r>
      <w:r w:rsidRPr="00635ABA">
        <w:rPr>
          <w:rFonts w:ascii="Arial" w:hAnsi="Arial" w:cs="Arial"/>
          <w:b/>
          <w:bCs/>
          <w:noProof/>
        </w:rPr>
        <w:t>112,</w:t>
      </w:r>
      <w:r w:rsidRPr="00635ABA">
        <w:rPr>
          <w:rFonts w:ascii="Arial" w:hAnsi="Arial" w:cs="Arial"/>
          <w:noProof/>
        </w:rPr>
        <w:t xml:space="preserve"> 698–706 (2013).</w:t>
      </w:r>
    </w:p>
    <w:p w14:paraId="37D85AB6"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6.</w:t>
      </w:r>
      <w:r w:rsidRPr="00635ABA">
        <w:rPr>
          <w:rFonts w:ascii="Arial" w:hAnsi="Arial" w:cs="Arial"/>
          <w:noProof/>
        </w:rPr>
        <w:tab/>
        <w:t xml:space="preserve">Martin, M. </w:t>
      </w:r>
      <w:r w:rsidRPr="00635ABA">
        <w:rPr>
          <w:rFonts w:ascii="Arial" w:hAnsi="Arial" w:cs="Arial"/>
          <w:i/>
          <w:iCs/>
          <w:noProof/>
        </w:rPr>
        <w:t>et al.</w:t>
      </w:r>
      <w:r w:rsidRPr="00635ABA">
        <w:rPr>
          <w:rFonts w:ascii="Arial" w:hAnsi="Arial" w:cs="Arial"/>
          <w:noProof/>
        </w:rPr>
        <w:t xml:space="preserve"> WhatsHap: fast and accurate read-based phasing. </w:t>
      </w:r>
      <w:r w:rsidRPr="00635ABA">
        <w:rPr>
          <w:rFonts w:ascii="Arial" w:hAnsi="Arial" w:cs="Arial"/>
          <w:i/>
          <w:iCs/>
          <w:noProof/>
        </w:rPr>
        <w:t>bioRxiv</w:t>
      </w:r>
      <w:r w:rsidRPr="00635ABA">
        <w:rPr>
          <w:rFonts w:ascii="Arial" w:hAnsi="Arial" w:cs="Arial"/>
          <w:noProof/>
        </w:rPr>
        <w:t xml:space="preserve"> 085050 (2016). doi:10.1101/085050</w:t>
      </w:r>
    </w:p>
    <w:p w14:paraId="021CBF14" w14:textId="77777777" w:rsidR="00635ABA" w:rsidRPr="00635ABA" w:rsidRDefault="00635ABA" w:rsidP="00635ABA">
      <w:pPr>
        <w:widowControl w:val="0"/>
        <w:autoSpaceDE w:val="0"/>
        <w:autoSpaceDN w:val="0"/>
        <w:adjustRightInd w:val="0"/>
        <w:ind w:left="640" w:hanging="640"/>
        <w:rPr>
          <w:rFonts w:ascii="Arial" w:hAnsi="Arial" w:cs="Arial"/>
          <w:noProof/>
        </w:rPr>
      </w:pPr>
      <w:r w:rsidRPr="00635ABA">
        <w:rPr>
          <w:rFonts w:ascii="Arial" w:hAnsi="Arial" w:cs="Arial"/>
          <w:noProof/>
        </w:rPr>
        <w:t>7.</w:t>
      </w:r>
      <w:r w:rsidRPr="00635ABA">
        <w:rPr>
          <w:rFonts w:ascii="Arial" w:hAnsi="Arial" w:cs="Arial"/>
          <w:noProof/>
        </w:rPr>
        <w:tab/>
        <w:t xml:space="preserve">Robinson, J. T. </w:t>
      </w:r>
      <w:r w:rsidRPr="00635ABA">
        <w:rPr>
          <w:rFonts w:ascii="Arial" w:hAnsi="Arial" w:cs="Arial"/>
          <w:i/>
          <w:iCs/>
          <w:noProof/>
        </w:rPr>
        <w:t>et al.</w:t>
      </w:r>
      <w:r w:rsidRPr="00635ABA">
        <w:rPr>
          <w:rFonts w:ascii="Arial" w:hAnsi="Arial" w:cs="Arial"/>
          <w:noProof/>
        </w:rPr>
        <w:t xml:space="preserve"> Integrative genomics viewer. </w:t>
      </w:r>
      <w:r w:rsidRPr="00635ABA">
        <w:rPr>
          <w:rFonts w:ascii="Arial" w:hAnsi="Arial" w:cs="Arial"/>
          <w:i/>
          <w:iCs/>
          <w:noProof/>
        </w:rPr>
        <w:t>Nat. Biotechnol.</w:t>
      </w:r>
      <w:r w:rsidRPr="00635ABA">
        <w:rPr>
          <w:rFonts w:ascii="Arial" w:hAnsi="Arial" w:cs="Arial"/>
          <w:noProof/>
        </w:rPr>
        <w:t xml:space="preserve"> </w:t>
      </w:r>
      <w:r w:rsidRPr="00635ABA">
        <w:rPr>
          <w:rFonts w:ascii="Arial" w:hAnsi="Arial" w:cs="Arial"/>
          <w:b/>
          <w:bCs/>
          <w:noProof/>
        </w:rPr>
        <w:t>29,</w:t>
      </w:r>
      <w:r w:rsidRPr="00635ABA">
        <w:rPr>
          <w:rFonts w:ascii="Arial" w:hAnsi="Arial" w:cs="Arial"/>
          <w:noProof/>
        </w:rPr>
        <w:t xml:space="preserve"> 24–6 (2011).</w:t>
      </w:r>
    </w:p>
    <w:p w14:paraId="4435D094" w14:textId="7391A0C3" w:rsidR="00F93C62" w:rsidRPr="00444A65" w:rsidRDefault="00A35644" w:rsidP="00635ABA">
      <w:pPr>
        <w:widowControl w:val="0"/>
        <w:autoSpaceDE w:val="0"/>
        <w:autoSpaceDN w:val="0"/>
        <w:adjustRightInd w:val="0"/>
        <w:ind w:left="640" w:hanging="640"/>
        <w:rPr>
          <w:rFonts w:ascii="Arial" w:hAnsi="Arial" w:cs="Arial"/>
        </w:rPr>
      </w:pPr>
      <w:r>
        <w:rPr>
          <w:rFonts w:ascii="Arial" w:hAnsi="Arial" w:cs="Arial"/>
        </w:rPr>
        <w:fldChar w:fldCharType="end"/>
      </w:r>
    </w:p>
    <w:sectPr w:rsidR="00F93C62" w:rsidRPr="00444A65" w:rsidSect="00E61B20">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AE"/>
    <w:rsid w:val="000037C2"/>
    <w:rsid w:val="00043CF5"/>
    <w:rsid w:val="00045FA4"/>
    <w:rsid w:val="000A7F81"/>
    <w:rsid w:val="000D3228"/>
    <w:rsid w:val="00183BAE"/>
    <w:rsid w:val="001F5857"/>
    <w:rsid w:val="002A6994"/>
    <w:rsid w:val="002D0976"/>
    <w:rsid w:val="002F0117"/>
    <w:rsid w:val="00300011"/>
    <w:rsid w:val="0030655A"/>
    <w:rsid w:val="00375D14"/>
    <w:rsid w:val="003B08C5"/>
    <w:rsid w:val="00444A65"/>
    <w:rsid w:val="0047000C"/>
    <w:rsid w:val="00480C4B"/>
    <w:rsid w:val="005A6E52"/>
    <w:rsid w:val="005E469F"/>
    <w:rsid w:val="00635ABA"/>
    <w:rsid w:val="00643AB5"/>
    <w:rsid w:val="00687BC2"/>
    <w:rsid w:val="006C021D"/>
    <w:rsid w:val="00765B03"/>
    <w:rsid w:val="00766B8D"/>
    <w:rsid w:val="007770A5"/>
    <w:rsid w:val="008725ED"/>
    <w:rsid w:val="00924C56"/>
    <w:rsid w:val="0097143B"/>
    <w:rsid w:val="00983C18"/>
    <w:rsid w:val="009F2494"/>
    <w:rsid w:val="00A35644"/>
    <w:rsid w:val="00A417B0"/>
    <w:rsid w:val="00A84F82"/>
    <w:rsid w:val="00AD2D19"/>
    <w:rsid w:val="00AD5EBC"/>
    <w:rsid w:val="00AE15BA"/>
    <w:rsid w:val="00B24C0E"/>
    <w:rsid w:val="00B41E4E"/>
    <w:rsid w:val="00B61ED0"/>
    <w:rsid w:val="00B640E8"/>
    <w:rsid w:val="00B6496F"/>
    <w:rsid w:val="00BD1F59"/>
    <w:rsid w:val="00C06012"/>
    <w:rsid w:val="00CD67E6"/>
    <w:rsid w:val="00D03E56"/>
    <w:rsid w:val="00D1492D"/>
    <w:rsid w:val="00D177AD"/>
    <w:rsid w:val="00D24CE3"/>
    <w:rsid w:val="00D32986"/>
    <w:rsid w:val="00D37570"/>
    <w:rsid w:val="00D55F22"/>
    <w:rsid w:val="00D67FC7"/>
    <w:rsid w:val="00D8137D"/>
    <w:rsid w:val="00DC33A0"/>
    <w:rsid w:val="00DD5253"/>
    <w:rsid w:val="00E61B20"/>
    <w:rsid w:val="00E9253D"/>
    <w:rsid w:val="00F575D5"/>
    <w:rsid w:val="00F72B42"/>
    <w:rsid w:val="00F829D7"/>
    <w:rsid w:val="00F85FB0"/>
    <w:rsid w:val="00F91BEE"/>
    <w:rsid w:val="00F93C62"/>
    <w:rsid w:val="00FB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08FA"/>
  <w15:chartTrackingRefBased/>
  <w15:docId w15:val="{DFB154B3-ABB0-C046-B007-5511C794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ED0"/>
    <w:rPr>
      <w:color w:val="0563C1" w:themeColor="hyperlink"/>
      <w:u w:val="single"/>
    </w:rPr>
  </w:style>
  <w:style w:type="character" w:styleId="UnresolvedMention">
    <w:name w:val="Unresolved Mention"/>
    <w:basedOn w:val="DefaultParagraphFont"/>
    <w:uiPriority w:val="99"/>
    <w:semiHidden/>
    <w:unhideWhenUsed/>
    <w:rsid w:val="00D8137D"/>
    <w:rPr>
      <w:color w:val="605E5C"/>
      <w:shd w:val="clear" w:color="auto" w:fill="E1DFDD"/>
    </w:rPr>
  </w:style>
  <w:style w:type="character" w:styleId="LineNumber">
    <w:name w:val="line number"/>
    <w:basedOn w:val="DefaultParagraphFont"/>
    <w:uiPriority w:val="99"/>
    <w:semiHidden/>
    <w:unhideWhenUsed/>
    <w:rsid w:val="00B6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lisonseiden/longreadclustersequen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ypi.org/project/sorting-hat/" TargetMode="External"/><Relationship Id="rId5" Type="http://schemas.openxmlformats.org/officeDocument/2006/relationships/hyperlink" Target="mailto:bruce.gelb@mssm.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8D41-C569-D341-9F6E-28DFA952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8671</Words>
  <Characters>49426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Richter</dc:creator>
  <cp:keywords/>
  <dc:description/>
  <cp:lastModifiedBy>Felix Richter</cp:lastModifiedBy>
  <cp:revision>59</cp:revision>
  <dcterms:created xsi:type="dcterms:W3CDTF">2019-01-22T15:05:00Z</dcterms:created>
  <dcterms:modified xsi:type="dcterms:W3CDTF">2019-01-22T15:34:00Z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http://www.zotero.org/styles/nature-no-et-al</vt:lpwstr>
  </property>
  <property fmtid="{D5CDD505-2E9C-101B-9397-08002B2CF9AE}" pid="21" name="Mendeley Recent Style Name 9_1">
    <vt:lpwstr>Nature (no "et al.")</vt:lpwstr>
  </property>
  <property fmtid="{D5CDD505-2E9C-101B-9397-08002B2CF9AE}" pid="22" name="Mendeley Document_1">
    <vt:lpwstr>True</vt:lpwstr>
  </property>
  <property fmtid="{D5CDD505-2E9C-101B-9397-08002B2CF9AE}" pid="23" name="Mendeley Unique User Id_1">
    <vt:lpwstr>e5345d0b-83d6-3da6-aeb9-791eb46ac061</vt:lpwstr>
  </property>
  <property fmtid="{D5CDD505-2E9C-101B-9397-08002B2CF9AE}" pid="24" name="Mendeley Citation Style_1">
    <vt:lpwstr>http://www.zotero.org/styles/nature</vt:lpwstr>
  </property>
</Properties>
</file>