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及不良额环比下降0.03、同比上升0.1的数据，该支行当前风险状况呈现短期改善但长期压力犹存的特征。环比下降表明近期风险管控措施可能已初步见效，不良资产规模得到一定控制。然而，同比上升0.1则提示，与去年同期相比，资产质量仍有所恶化，潜在风险尚未完全出清。这种短期与长期趋势的分化，可能反映出该支行在化解存量风险的同时，新增不良贷款的生成速度尚未得到有效遏制，或部分行业、客户的风险暴露具有滞后性。整体来看，该支行风险可控但需保持警惕，尤其需关注同比上升背后可能存在的结构性隐患。</w:t>
        <w:br/>
        <w:t/>
        <w:br/>
        <w:t>针对上述风险状况，建议该支行采取以下针对性管理措施。首先，应深入分析同比上升的具体成因，区分是存量风险处置不力还是新增风险集中暴露，并据此调整风险排查与预警机制，加强对重点行业和客户的动态监控。其次，在巩固环比改善成果的基础上，进一步优化不良资产清收与核销策略，提升处置效率，防止风险积压。同时，建议强化贷后管理流程，对潜在风险客户提前介入，通过展期、重组等方式缓释风险，避免不良额再度反弹。最后，应定期复盘风险管控效果，结合区域经济环境变化，动态调整信贷投放结构，从源头控制新增不良的生成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