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知识库信息及不良额环比上升0.12、同比上升0.35的数据，该支行当前风险状况呈现明显恶化趋势。环比与同比的双重增长表明，不良资产规模在短期内加速积累，且与去年同期相比问题更为突出，可能反映出该支行在信贷审批、贷后管理或风险预警机制上存在薄弱环节。这种趋势若未得到有效控制，可能进一步侵蚀资产质量，影响整体经营稳健性。</w:t>
        <w:br/>
        <w:t/>
        <w:br/>
        <w:t>针对上述风险状况，建议该支行立即开展不良贷款成因专项排查，重点分析新增不良客户的特征与行业分布，以识别风险集中领域。同时，应强化贷后监控频率，对存量贷款实施分类预警，对潜在风险客户提前介入催收或重组措施。此外，建议优化信贷审批流程，加强客户还款能力与抵押物价值的动态评估，从源头控制新增不良。管理层需定期跟踪不良额变动趋势，并制定阶段性压降目标，确保风险可控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