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 xml:space="preserve">支行：</w:t>
      </w:r>
      <w:r>
        <w:t xml:space="preserve">A支行</w:t>
      </w:r>
      <w:r>
        <w:t xml:space="preserve"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r>
        <w:t xml:space="preserve">普惠贷款余额为</w:t>
      </w:r>
      <w:r>
        <w:t xml:space="preserve"> 1250 </w:t>
      </w:r>
      <w:r>
        <w:t xml:space="preserve">万元；房产评估金额</w:t>
      </w:r>
      <w:r>
        <w:t xml:space="preserve"> 900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无法清偿</w:t>
      </w:r>
      <w:r>
        <w:t xml:space="preserve"/>
      </w:r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法人e抵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2.7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个人e抵押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2.2</w:t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54F26B8C" w14:textId="410F7CAC" w:rsidR="002927B3" w:rsidRDefault="00000000">
      <w:pPr>
        <w:rPr>
          <w:rFonts w:hint="eastAsia"/>
        </w:rPr>
      </w:pPr>
      <w:r>
        <w:rPr/>
        <w:t>根据知识库信息以及不良额环比上升0.12、同比上升0.35的数据，该支行当前面临的不良贷款风险呈现明显上升趋势。环比与同比的双重增长表明，近期资产质量压力正在加大，且这一趋势并非短期波动，而是具有持续恶化的特征。这可能反映出该支行在客户筛选、贷后管理或风险预警机制方面存在薄弱环节，需要进一步排查具体原因，例如是否集中于特定行业或客户群体。</w:t>
        <w:br/>
        <w:t/>
        <w:br/>
        <w:t>针对上述风险状况，建议该支行立即启动不良贷款专项排查，重点分析环比与同比增幅较大的贷款项目，识别风险源头。同时，应强化贷前审查标准，对新增贷款客户进行更严格的信用评估，并加强贷后监控频率，对已出现逾期迹象的贷款提前介入。此外，建议支行管理层组织风险培训，提升客户经理的风险识别能力，并考虑设立专项拨备以应对潜在损失。</w:t>
      </w:r>
    </w:p>
    <w:sectPr w:rsidR="002927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4616"/>
    <w:rsid w:val="0006063C"/>
    <w:rsid w:val="0015074B"/>
    <w:rsid w:val="001B1F86"/>
    <w:rsid w:val="002927B3"/>
    <w:rsid w:val="0029639D"/>
    <w:rsid w:val="00326F90"/>
    <w:rsid w:val="006B0844"/>
    <w:rsid w:val="00AA1D8D"/>
    <w:rsid w:val="00B47730"/>
    <w:rsid w:val="00CB0664"/>
    <w:rsid w:val="00DB7C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352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3</cp:revision>
  <dcterms:created xsi:type="dcterms:W3CDTF">2013-12-23T23:15:00Z</dcterms:created>
  <dcterms:modified xsi:type="dcterms:W3CDTF">2026-06-14T04:47:00Z</dcterms:modified>
  <cp:category/>
  <dc:identifier/>
  <dc:language/>
</cp:coreProperties>
</file>