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B支行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2.5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2.3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410F7CAC" w:rsidR="002927B3" w:rsidRDefault="00000000">
      <w:pPr>
        <w:rPr>
          <w:rFonts w:hint="eastAsia"/>
        </w:rPr>
      </w:pPr>
      <w:r>
        <w:rPr/>
        <w:t>根据知识库信息及不良额环比下降0.03、同比上升0.1的数据，该支行当前风险状况呈现短期改善但长期压力未消的特征。环比下降表明近期风险管控措施可能产生一定效果，不良资产规模在短期内得到控制。然而，同比上升0.1则提示，与去年同期相比，不良资产规模仍在扩大，这可能意味着潜在风险尚未完全出清，或宏观经济环境、区域客户经营状况对资产质量的影响仍在持续。综合来看，该支行面临的风险并非急剧恶化，但存在结构性隐患，需要警惕不良资产反弹的可能性。</w:t>
        <w:br/>
        <w:t/>
        <w:br/>
        <w:t>针对上述风险状况，建议该支行采取以下管理措施。首先，应深入分析同比上升的具体原因，重点排查新增不良贷款的行业分布、客户类型及成因，区分是偶发性因素还是系统性风险。其次，在保持现有风险管控力度的基础上，加强对存量贷款客户的动态监测，特别是对经营状况出现波动或行业景气度下行的客户，提前制定风险化解预案。同时，建议优化信贷审批流程，对新增贷款加强贷前调查和贷中审查，避免因风险偏好放松导致不良额再次攀升。此外，可考虑对现有不良资产进行逐笔梳理，通过催收、重组或核销等方式加快处置，以降低不良资产对利润的侵蚀。</w:t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1B1F86"/>
    <w:rsid w:val="002927B3"/>
    <w:rsid w:val="0029639D"/>
    <w:rsid w:val="00326F90"/>
    <w:rsid w:val="006B0844"/>
    <w:rsid w:val="00AA1D8D"/>
    <w:rsid w:val="00B47730"/>
    <w:rsid w:val="00CB0664"/>
    <w:rsid w:val="00DB7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352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2026-06-14T04:47:00Z</dcterms:modified>
  <cp:category/>
  <dc:identifier/>
  <dc:language/>
</cp:coreProperties>
</file>