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r>
        <w:rPr/>
        <w:t>根据知识库信息及不良额环比上升0.12、同比上升0.35的数据，该支行当前风险状况呈现明显恶化趋势。不良额在短期和中期均出现较大幅度增长，表明资产质量压力正在快速积累。环比数据反映近期风险暴露加速，可能涉及部分客户还款能力突然下降或集中违约事件；同比数据则显示风险问题并非短期波动，而是具有持续性特征。这种双升态势提示该支行在贷前审查、贷中监控或贷后管理环节可能存在系统性薄弱点，需要重点关注风险传导的行业或客户群体。</w:t>
        <w:br/>
        <w:t/>
        <w:br/>
        <w:t>针对上述风险状况，建议该支行立即启动不良资产专项排查，重点分析环比和同比增幅较大的客户名单，识别是否存在行业集中度风险或单一客户过度授信问题。同时，应强化贷后管理频率，对存量贷款实施更严格的五级分类动态调整，防止风险隐匿。在新增业务方面，建议暂时收紧高风险行业或信用记录不佳客户的授信标准，并加强担保措施的落实。此外，可考虑引入外部催收机构或法律手段加速不良资产处置，以控制不良率进一步攀升。管理层需定期召开风险专题会议，确保风险防控措施执行到位。</w:t>
      </w:r>
    </w:p>
    <w:p w14:paraId="01C16CA1" w14:textId="0B44A5D4" w:rsidR="00960C36" w:rsidRDefault="00960C36" w:rsidP="00960C36">
      <w:pPr>
        <w:rPr>
          <w:rFonts w:hint="eastAsia"/>
        </w:rPr>
      </w:pPr>
      <w:r>
        <w:rPr/>
        <w:t>根据您提供的数据，当前业务运行中存在若干值得关注的风险点。首先，部分关键指标出现波动，例如销售额在最近一个季度环比下降了约百分之五，这可能与市场整体需求放缓或竞争加剧有关，但具体原因需要结合更详细的行业数据进一步验证。其次，客户流失率有所上升，从百分之三增至百分之五，这或许反映出服务或产品满意度方面存在潜在问题，但尚未有直接证据指向特定环节。此外，运营成本同比增加了百分之八，主要源于原材料价格上涨，这可能会压缩利润空间，需警惕其对长期盈利能力的冲击。</w:t>
        <w:br/>
        <w:t/>
        <w:br/>
        <w:t>针对上述风险，建议采取以下管理措施。一是加强市场调研和客户反馈收集，以精准定位销售下滑和客户流失的根源，并据此调整营销策略或优化产品功能。二是对成本结构进行详细审查，探索与供应商重新谈判合同或寻找替代材料，以控制成本增长。三是建立更频繁的业绩监控机制，例如每月分析关键指标变化，以便及早发现异常并快速响应。通过这些举措，有望在稳定当前业务的同时，为后续增长奠定更坚实的基础。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