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知识库信息及不良额环比下降0.03、同比上升0.1的数据，该支行当前风险状况呈现短期改善但长期压力犹存的特征。环比下降表明近期风险管控措施可能已初步见效，不良资产清收或新增风险控制取得一定进展。然而，同比上升0.1则提示，与去年同期相比，不良贷款规模仍在扩大，这可能反映出宏观经济环境或区域客户经营状况尚未根本好转，存量风险消化速度慢于新增风险暴露速度。综合来看，该支行面临的风险结构可能正在从短期集中暴露转向长期缓慢释放，需警惕不良额在同比维度上持续攀升的潜在趋势。</w:t>
        <w:br/>
        <w:t/>
        <w:br/>
        <w:t>针对上述风险状况，建议该支行采取以下针对性管理措施。首先，应深入分析同比上升的具体成因，区分是特定行业客户集中违约，还是普遍性经营困难所致，以便精准施策。其次，在巩固环比改善成果的基础上，需加强对存量不良贷款的催收与核销力度，同时严格新增贷款的准入标准，避免因短期数据好转而放松风险把控。此外，建议支行建立更敏感的风险预警机制，对同比指标异常波动的客户群体进行逐户排查，提前介入潜在风险点。最后，可考虑优化信贷结构，适度压缩高风险领域敞口，并加强与上级行风险管理部门的信息沟通，争取政策支持以应对可能持续的不良压力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营中主要存在几项值得关注的风险点。首先，部分关键指标呈现波动趋势，例如销售额在特定季度出现下滑，这可能与市场环境变化或内部执行效率有关，但具体原因需要结合更详细的销售渠道和客户反馈数据进一步验证。其次，成本控制方面，原材料采购成本有所上升，这或许对利润率造成一定压力，但尚未明确是否由供应链中断或价格谈判能力减弱导致。此外，客户满意度评分在近期有所下降，这可能需要关注服务流程或产品质量的潜在问题，但现有数据不足以直接定位根源。</w:t>
        <w:br/>
        <w:t/>
        <w:br/>
        <w:t>针对上述风险，建议管理层优先采取以下措施。一是加强对销售数据的周期性分析，特别是按产品线和区域细分，以识别波动背后的具体驱动因素，并据此调整营销策略。二是与采购部门协作，评估原材料成本上升的持续性，并探索替代供应商或长期合同以稳定成本。三是启动客户反馈的专项调研，结合投诉记录和服务记录，找出满意度下降的关键环节，并制定改进计划。同时，建议定期更新数据报告，确保决策基于最新信息，并设立跨部门小组跟踪这些措施的进展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