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根据提供的知识库（`puhui_daikou_buliang`）以及不良额环比增长0.12、同比增长0.35的数据，现对该支行风险状况分析及建议如下：</w:t>
        <w:br/>
        <w:t/>
        <w:br/>
        <w:t>---</w:t>
        <w:br/>
        <w:t/>
        <w:br/>
        <w:t>### 一、风险状况分析</w:t>
        <w:br/>
        <w:t/>
        <w:br/>
        <w:t xml:space="preserve">1. **不良额增长趋势显著**  </w:t>
        <w:br/>
        <w:t xml:space="preserve">   - 不良额环比增长12%（0.12），同比增长35%（0.35），表明近期及中长期内不良资产规模均呈上升态势。  </w:t>
        <w:br/>
        <w:t xml:space="preserve">   - 同比增幅远高于环比，说明不良额增长并非短期波动，而是存在持续恶化的趋势。</w:t>
        <w:br/>
        <w:t/>
        <w:br/>
        <w:t xml:space="preserve">2. **潜在风险点**  </w:t>
        <w:br/>
        <w:t xml:space="preserve">   - **存量风险暴露加速**：同比高增长可能反映前期隐性风险（如借新还旧、展期贷款）逐步暴露。  </w:t>
        <w:br/>
        <w:t xml:space="preserve">   - **新增风险控制不足**：环比持续增长提示近期信贷审批或贷后管理可能存在漏洞，新增贷款质量下降。  </w:t>
        <w:br/>
        <w:t xml:space="preserve">   - **行业或区域集中度风险**：需结合知识库中“普惠贷款”特点，排查是否因特定行业（如小微、涉农）或区域经济下行导致不良集中爆发。</w:t>
        <w:br/>
        <w:t/>
        <w:br/>
        <w:t xml:space="preserve">3. **风险等级判断**  </w:t>
        <w:br/>
        <w:t xml:space="preserve">   - 结合知识库中“不良贷款率”相关阈值（如假设知识库设定警戒线为不良率≥3%或同比增幅≥20%），当前数据已触发预警，需立即采取干预措施。</w:t>
        <w:br/>
        <w:t/>
        <w:br/>
        <w:t>---</w:t>
        <w:br/>
        <w:t/>
        <w:br/>
        <w:t>### 二、针对性建议</w:t>
        <w:br/>
        <w:t/>
        <w:br/>
        <w:t>#### 1. 强化存量风险化解</w:t>
        <w:br/>
        <w:t xml:space="preserve">   - **逐笔排查**：对不良贷款按金额、行业、担保方式分类，优先处置大额及高风险客户。  </w:t>
        <w:br/>
        <w:t xml:space="preserve">   - **灵活清收**：对暂时经营困难但仍有还款意愿的客户，通过展期、重组、减免罚息等方式缓释风险；对恶意逃废债客户，启动法律诉讼或资产保全。  </w:t>
        <w:br/>
        <w:t xml:space="preserve">   - **核销与转让**：对确无回收可能的不良贷款，加快核销或打包转让，降低账面不良率。</w:t>
        <w:br/>
        <w:t/>
        <w:br/>
        <w:t>#### 2. 严控新增风险</w:t>
        <w:br/>
        <w:t xml:space="preserve">   - **优化信贷准入**：提高对小微、普惠客户的贷前调查标准，重点核查经营流水、纳税记录、担保物价值等关键指标。  </w:t>
        <w:br/>
        <w:t xml:space="preserve">   - **加强贷后管理**：对存量贷款实施动态监控，对出现逾期、欠息、经营异常等预警信号的客户，及时采取压缩授信、追加担保等措施。  </w:t>
        <w:br/>
        <w:t xml:space="preserve">   - **调整授信结构**：适当收缩高风险行业（如批发零售、住宿餐饮）的信贷投放，增加对优质制造业、科创企业的支持。</w:t>
        <w:br/>
        <w:t/>
        <w:br/>
        <w:t>#### 3. 完善风险监测与考核机制</w:t>
        <w:br/>
        <w:t xml:space="preserve">   - **建立不良额预警模型**：将环比、同比增幅纳入日常监测指标，设置分级预警阈值（如环比≥10%或同比≥20%触发黄色预警）。  </w:t>
        <w:br/>
        <w:t xml:space="preserve">   - **强化考核导向**：将不良额控制目标分解至客户经理及网点，对新增不良超标的个人或团队实施绩效扣减或暂停授信权限。</w:t>
        <w:br/>
        <w:t/>
        <w:br/>
        <w:t>#### 4. 争取外部支持</w:t>
        <w:br/>
        <w:t xml:space="preserve">   - **与监管部门沟通**：主动报告风险状况，争取不良资产核销、重组等政策支持。  </w:t>
        <w:br/>
        <w:t xml:space="preserve">   - **引入第三方合作**：与资产管理公司（AMC）合作开展不良资产批量转让，或与担保公司、政府风险补偿基金联动分担风险。</w:t>
        <w:br/>
        <w:t/>
        <w:br/>
        <w:t>---</w:t>
        <w:br/>
        <w:t/>
        <w:br/>
        <w:t>### 三、总结</w:t>
        <w:br/>
        <w:t/>
        <w:br/>
        <w:t>当前该支行不良额呈现“双高”增长（环比12%、同比35%），风险已进入快速暴露期。建议立即启动风险处置预案，以“存量化解+新增严控”为核心，同步优化监测机制与考核导向，避免风险进一步蔓延。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