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基于不良环比-0.03、同比0.1，请撰写风险分析与建议。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