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/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根据提供的知识库（普惠贷款不良相关）及不良额环比增长0.12、同比增长0.35的数据，对该支行风险状况分析及建议如下：</w:t>
        <w:br/>
        <w:t/>
        <w:br/>
        <w:t>---</w:t>
        <w:br/>
        <w:t/>
        <w:br/>
        <w:t>### 一、风险状况分析</w:t>
        <w:br/>
        <w:t/>
        <w:br/>
        <w:t xml:space="preserve">1. **不良额上升趋势明显**  </w:t>
        <w:br/>
        <w:t xml:space="preserve">   - 不良额环比增长12%（0.12），同比大幅增长35%（0.35），表明该支行普惠贷款资产质量在短期内显著恶化，且恶化速度在加快。</w:t>
        <w:br/>
        <w:t xml:space="preserve">   - 同比增幅远高于环比，说明风险并非短期波动，而是存在持续积累或结构性隐患。</w:t>
        <w:br/>
        <w:t/>
        <w:br/>
        <w:t xml:space="preserve">2. **风险暴露可能滞后**  </w:t>
        <w:br/>
        <w:t xml:space="preserve">   - 普惠贷款客户群体抗风险能力相对较弱，经济下行或行业波动时，风险暴露往往滞后于宏观指标变化。当前数据可能反映前期风险正在集中释放。</w:t>
        <w:br/>
        <w:t/>
        <w:br/>
        <w:t xml:space="preserve">3. **潜在风险点**  </w:t>
        <w:br/>
        <w:t xml:space="preserve">   - 若知识库中提及“行业集中度”“客户资质下沉”“贷后管理薄弱”等特征，则需重点关注相关领域。</w:t>
        <w:br/>
        <w:t xml:space="preserve">   - 环比与同比双升，可能涉及：部分客户经营恶化、担保代偿不足、或前期风险缓释措施失效。</w:t>
        <w:br/>
        <w:t/>
        <w:br/>
        <w:t>---</w:t>
        <w:br/>
        <w:t/>
        <w:br/>
        <w:t>### 二、针对性建议</w:t>
        <w:br/>
        <w:t/>
        <w:br/>
        <w:t>#### （一）立即行动：遏制不良上升势头</w:t>
        <w:br/>
        <w:t xml:space="preserve">1. **逐户排查，分类施策**  </w:t>
        <w:br/>
        <w:t xml:space="preserve">   - 对存量不良及关注类贷款进行逐户分析，区分“临时性困难”与“实质性恶化”。  </w:t>
        <w:br/>
        <w:t xml:space="preserve">   - 对短期经营困难但还款意愿良好的客户，通过展期、调整还款计划等方式缓释风险；对恶意逃废债客户，启动法律清收。</w:t>
        <w:br/>
        <w:t/>
        <w:br/>
        <w:t xml:space="preserve">2. **强化催收与核销**  </w:t>
        <w:br/>
        <w:t xml:space="preserve">   - 加大催收力度，尤其是对逾期30-90天贷款，防止向不良迁移。  </w:t>
        <w:br/>
        <w:t xml:space="preserve">   - 对确认无法收回的贷款，加快核销流程，释放风险资本。</w:t>
        <w:br/>
        <w:t/>
        <w:br/>
        <w:t>#### （二）中期调整：优化风控与业务结构</w:t>
        <w:br/>
        <w:t xml:space="preserve">1. **收紧新增授信标准**  </w:t>
        <w:br/>
        <w:t xml:space="preserve">   - 暂停或审慎介入高风险行业、信用评分偏低客户，提高首付比例或追加担保措施。  </w:t>
        <w:br/>
        <w:t xml:space="preserve">   - 对存量客户实施“动态额度管理”，根据经营流水、纳税数据等实时调整授信。</w:t>
        <w:br/>
        <w:t/>
        <w:br/>
        <w:t xml:space="preserve">2. **加强贷后管理**  </w:t>
        <w:br/>
        <w:t xml:space="preserve">   - 增加现场检查频率，重点关注资金流向、经营场所、担保物状态。  </w:t>
        <w:br/>
        <w:t xml:space="preserve">   - 建立风险预警机制，对触发预警信号（如纳税下降、水电费异常）的客户提前介入。</w:t>
        <w:br/>
        <w:t/>
        <w:br/>
        <w:t xml:space="preserve">3. **优化行业与客户结构**  </w:t>
        <w:br/>
        <w:t xml:space="preserve">   - 降低对单一行业或区域客户的依赖，分散风险。  </w:t>
        <w:br/>
        <w:t xml:space="preserve">   - 优先支持有稳定现金流、抵押物充足、信用记录良好的小微企业主。</w:t>
        <w:br/>
        <w:t/>
        <w:br/>
        <w:t>#### （三）长期建设：完善风险文化与管理体系</w:t>
        <w:br/>
        <w:t xml:space="preserve">1. **提升员工风险识别能力**  </w:t>
        <w:br/>
        <w:t xml:space="preserve">   - 开展普惠贷款风险案例培训，强化客户经理对“隐形负债”“关联交易”等风险的识别能力。</w:t>
        <w:br/>
        <w:t/>
        <w:br/>
        <w:t xml:space="preserve">2. **引入外部数据与科技手段**  </w:t>
        <w:br/>
        <w:t xml:space="preserve">   - 对接税务、工商、征信等外部数据，利用大数据模型辅助审批与预警。  </w:t>
        <w:br/>
        <w:t xml:space="preserve">   - 探索“线上+线下”结合的风控模式，提高效率与准确性。</w:t>
        <w:br/>
        <w:t/>
        <w:br/>
        <w:t xml:space="preserve">3. **建立风险复盘机制**  </w:t>
        <w:br/>
        <w:t xml:space="preserve">   - 每季度对不良成因进行复盘，总结共性特征（如行业、区域、客户画像），动态调整授信政策。</w:t>
        <w:br/>
        <w:t/>
        <w:br/>
        <w:t>---</w:t>
        <w:br/>
        <w:t/>
        <w:br/>
        <w:t>### 三、总结</w:t>
        <w:br/>
        <w:t/>
        <w:br/>
        <w:t>该支行当前面临不良额“环比加速、同比恶化”的双重压力，需立即采取“止血”措施，同时从中长期优化风控体系。建议在3个月内实现不良率环比下降，6个月内同比增幅收窄，逐步恢复资产质量健康水平。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