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 `puhui_daikou_buliang` 中的相关定义与标准，结合该支行不良额环比下降3%、同比上升10%的数据，现对其风险状况分析及针对性建议如下：</w:t>
        <w:br/>
        <w:t/>
        <w:br/>
        <w:t>---</w:t>
        <w:br/>
        <w:t/>
        <w:br/>
        <w:t>### 一、风险状况分析</w:t>
        <w:br/>
        <w:t/>
        <w:br/>
        <w:t xml:space="preserve">1. **环比改善，短期风险可控**  </w:t>
        <w:br/>
        <w:t xml:space="preserve">   不良额环比下降3%，表明近期（如本月较上月）该支行在不良资产清收、核销或风险化解方面取得一定成效，短期风险暴露有所收敛，资产质量边际改善。</w:t>
        <w:br/>
        <w:t/>
        <w:br/>
        <w:t xml:space="preserve">2. **同比上升，长期压力犹存**  </w:t>
        <w:br/>
        <w:t xml:space="preserve">   不良额同比上升10%，说明与去年同期相比，不良资产规模仍在扩大。这可能反映出：</w:t>
        <w:br/>
        <w:t xml:space="preserve">   - 存量风险尚未完全出清；</w:t>
        <w:br/>
        <w:t xml:space="preserve">   - 新增不良贷款生成速度加快；</w:t>
        <w:br/>
        <w:t xml:space="preserve">   - 宏观经济或区域信用环境对部分客户还款能力造成持续影响。</w:t>
        <w:br/>
        <w:t/>
        <w:br/>
        <w:t xml:space="preserve">3. **综合判断：风险处于“短期改善、长期承压”阶段**  </w:t>
        <w:br/>
        <w:t xml:space="preserve">   该支行当前风险状况属于“可控但需警惕”区间。环比数据虽好，但同比上升幅度较大，若趋势延续，可能侵蚀拨备、影响利润，并触发监管关注。</w:t>
        <w:br/>
        <w:t/>
        <w:br/>
        <w:t>---</w:t>
        <w:br/>
        <w:t/>
        <w:br/>
        <w:t>### 二、针对性建议</w:t>
        <w:br/>
        <w:t/>
        <w:br/>
        <w:t>#### 1. 强化存量不良清收与核销</w:t>
        <w:br/>
        <w:t>- **加大清收力度**：对逾期90天以上贷款逐户制定清收方案，重点跟进大额、有抵押或担保的客户。</w:t>
        <w:br/>
        <w:t>- **加快核销节奏**：对确无回收可能的不良贷款，按政策及时核销，降低不良率分母压力。</w:t>
        <w:br/>
        <w:t/>
        <w:br/>
        <w:t>#### 2. 严控新增不良生成</w:t>
        <w:br/>
        <w:t>- **加强贷前审查**：对新增授信客户，重点核查其经营现金流、行业景气度及历史信用记录。</w:t>
        <w:br/>
        <w:t>- **优化贷后管理**：对存量正常类贷款中风险信号（如欠息、账户异常）客户，提前介入，采取压缩授信、追加担保等措施。</w:t>
        <w:br/>
        <w:t/>
        <w:br/>
        <w:t>#### 3. 实施差异化风险化解策略</w:t>
        <w:br/>
        <w:t>- **分类施策**：对暂时性困难但经营前景尚可的客户，通过展期、重组等方式缓释风险；对恶意逃废债客户，依法诉讼追偿。</w:t>
        <w:br/>
        <w:t>- **联动地方政府**：对涉及区域特色产业或政府项目的风险贷款，争取政策支持或风险补偿。</w:t>
        <w:br/>
        <w:t/>
        <w:br/>
        <w:t>#### 4. 完善风险监测与预警机制</w:t>
        <w:br/>
        <w:t>- **建立环比、同比双维度监控**：将不良额环比、同比变化纳入支行月度风险例会必报指标，设定预警阈值（如同比增幅超5%即启动专项分析）。</w:t>
        <w:br/>
        <w:t>- **开展压力测试**：模拟不良额同比持续上升情景，评估对拨备覆盖率、资本充足率的影响，提前储备应对措施。</w:t>
        <w:br/>
        <w:t/>
        <w:br/>
        <w:t>#### 5. 提升全员风险意识与考核导向</w:t>
        <w:br/>
        <w:t>- **调整考核权重**：将不良额同比增速纳入客户经理及支行负责人绩效考核，强化“控新降旧”导向。</w:t>
        <w:br/>
        <w:t>- **开展专项培训**：针对当前风险高发行业（如批发零售、建筑等），组织风险识别与处置案例培训。</w:t>
        <w:br/>
        <w:t/>
        <w:br/>
        <w:t>---</w:t>
        <w:br/>
        <w:t/>
        <w:br/>
        <w:t>### 三、总结</w:t>
        <w:br/>
        <w:t/>
        <w:br/>
        <w:t>该支行不良额环比下降是积极信号，但同比上升10%需引起高度重视。建议短期内以“控增量、清存量”为核心，中长期完善风险治理机制，确保资产质量稳步向好。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