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不良贷款认定标准与分类</w:t>
      </w:r>
    </w:p>
    <w:p>
      <w:pPr>
        <w:pStyle w:val="Heading1"/>
      </w:pPr>
      <w:r>
        <w:t>不良贷款认定标准与分类</w:t>
      </w:r>
    </w:p>
    <w:p>
      <w:pPr>
        <w:pStyle w:val="Heading2"/>
      </w:pPr>
      <w:r>
        <w:t>第一章 不良贷款认定标准</w:t>
      </w:r>
    </w:p>
    <w:p>
      <w:r>
        <w:t>根据中国银行业监督管理委员会《贷款风险分类指引》，不良贷款认定标准如下：</w:t>
      </w:r>
    </w:p>
    <w:p/>
    <w:p>
      <w:pPr>
        <w:pStyle w:val="Heading3"/>
      </w:pPr>
      <w:r>
        <w:t>1.1 逾期标准</w:t>
      </w:r>
    </w:p>
    <w:p>
      <w:r>
        <w:t>- 逾期90天以上未还本金或利息的贷款</w:t>
      </w:r>
    </w:p>
    <w:p>
      <w:r>
        <w:t>- 借款人连续3期以上未按时偿还贷款本息</w:t>
      </w:r>
    </w:p>
    <w:p>
      <w:r>
        <w:t>- 借款人出现重大经营困难，无法正常履行还款义务</w:t>
      </w:r>
    </w:p>
    <w:p/>
    <w:p>
      <w:pPr>
        <w:pStyle w:val="Heading3"/>
      </w:pPr>
      <w:r>
        <w:t>1.2 风险信号标准</w:t>
      </w:r>
    </w:p>
    <w:p>
      <w:r>
        <w:t>- 借款人被列入失信被执行人名单</w:t>
      </w:r>
    </w:p>
    <w:p>
      <w:r>
        <w:t>- 借款人主要资产被查封、冻结或扣押</w:t>
      </w:r>
    </w:p>
    <w:p>
      <w:r>
        <w:t>- 借款人涉及重大诉讼或仲裁案件</w:t>
      </w:r>
    </w:p>
    <w:p>
      <w:r>
        <w:t>- 借款人实际控制人或主要股东发生重大变故</w:t>
      </w:r>
    </w:p>
    <w:p/>
    <w:p>
      <w:pPr>
        <w:pStyle w:val="Heading3"/>
      </w:pPr>
      <w:r>
        <w:t>1.3 财务指标标准</w:t>
      </w:r>
    </w:p>
    <w:p>
      <w:r>
        <w:t>- 借款人资产负债率超过85%</w:t>
      </w:r>
    </w:p>
    <w:p>
      <w:r>
        <w:t>- 借款人流动比率低于1.0</w:t>
      </w:r>
    </w:p>
    <w:p>
      <w:r>
        <w:t>- 借款人连续两年亏损</w:t>
      </w:r>
    </w:p>
    <w:p>
      <w:r>
        <w:t>- 借款人经营活动现金流持续为负</w:t>
      </w:r>
    </w:p>
    <w:p/>
    <w:p>
      <w:pPr>
        <w:pStyle w:val="Heading2"/>
      </w:pPr>
      <w:r>
        <w:t>第二章 风险分类体系</w:t>
      </w:r>
    </w:p>
    <w:p>
      <w:pPr>
        <w:pStyle w:val="Heading3"/>
      </w:pPr>
      <w:r>
        <w:t>2.1 五级分类标准</w:t>
      </w:r>
    </w:p>
    <w:p>
      <w:r>
        <w:t>- 正常类：借款人能够履行合同，没有足够理由怀疑贷款本息不能按时足额偿还</w:t>
      </w:r>
    </w:p>
    <w:p>
      <w:r>
        <w:t>- 关注类：借款人目前有能力偿还贷款本息，但存在一些可能对偿还产生不利影响的因素</w:t>
      </w:r>
    </w:p>
    <w:p>
      <w:r>
        <w:t>- 次级类：借款人的还款能力出现明显问题，完全依靠其正常经营收入无法足额偿还贷款本息</w:t>
      </w:r>
    </w:p>
    <w:p>
      <w:r>
        <w:t>- 可疑类：借款人无法足额偿还贷款本息，即使执行担保，也肯定要造成较大损失</w:t>
      </w:r>
    </w:p>
    <w:p>
      <w:r>
        <w:t>- 损失类：在采取所有可能的措施或一切必要的法律程序之后，本息仍然无法收回，或只能收回极少部分</w:t>
      </w:r>
    </w:p>
    <w:p/>
    <w:p>
      <w:pPr>
        <w:pStyle w:val="Heading3"/>
      </w:pPr>
      <w:r>
        <w:t>2.2 普惠金融特殊分类</w:t>
      </w:r>
    </w:p>
    <w:p>
      <w:r>
        <w:t>针对小微企业、个体工商户和农户贷款的特殊分类标准：</w:t>
      </w:r>
    </w:p>
    <w:p>
      <w:r>
        <w:t>- 重点关注类：借款人经营出现短期困难，但基本面良好，有恢复潜力</w:t>
      </w:r>
    </w:p>
    <w:p>
      <w:r>
        <w:t>- 风险缓解类：借款人已与银行达成风险缓释协议，正在执行中</w:t>
      </w:r>
    </w:p>
    <w:p>
      <w:r>
        <w:t>- 处置中类：贷款已进入风险处置程序，正在进行重组或转让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