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风险缓释措施与贷后管理</w:t>
      </w:r>
    </w:p>
    <w:p>
      <w:pPr>
        <w:pStyle w:val="Heading1"/>
      </w:pPr>
      <w:r>
        <w:t>风险缓释措施与贷后管理</w:t>
      </w:r>
    </w:p>
    <w:p>
      <w:pPr>
        <w:pStyle w:val="Heading2"/>
      </w:pPr>
      <w:r>
        <w:t>第一章 风险缓释措施</w:t>
      </w:r>
    </w:p>
    <w:p>
      <w:pPr>
        <w:pStyle w:val="Heading3"/>
      </w:pPr>
      <w:r>
        <w:t>1.1 抵质押担保</w:t>
      </w:r>
    </w:p>
    <w:p>
      <w:pPr>
        <w:pStyle w:val="Heading3"/>
      </w:pPr>
      <w:r>
        <w:t>1.1.1 抵押物类型</w:t>
      </w:r>
    </w:p>
    <w:p>
      <w:r>
        <w:t>- 房地产抵押：住宅、商业用房、工业厂房</w:t>
      </w:r>
    </w:p>
    <w:p>
      <w:r>
        <w:t>- 土地使用权抵押</w:t>
      </w:r>
    </w:p>
    <w:p>
      <w:r>
        <w:t>- 机器设备抵押</w:t>
      </w:r>
    </w:p>
    <w:p>
      <w:r>
        <w:t>- 交通运输工具抵押</w:t>
      </w:r>
    </w:p>
    <w:p>
      <w:r>
        <w:t>- 存货抵押</w:t>
      </w:r>
    </w:p>
    <w:p>
      <w:r>
        <w:t>- 应收账款质押</w:t>
      </w:r>
    </w:p>
    <w:p/>
    <w:p>
      <w:pPr>
        <w:pStyle w:val="Heading3"/>
      </w:pPr>
      <w:r>
        <w:t>1.1.2 抵押率要求</w:t>
      </w:r>
    </w:p>
    <w:p>
      <w:r>
        <w:t>- 住宅抵押率：最高不超过70%</w:t>
      </w:r>
    </w:p>
    <w:p>
      <w:r>
        <w:t>- 商业用房抵押率：最高不超过60%</w:t>
      </w:r>
    </w:p>
    <w:p>
      <w:r>
        <w:t>- 工业厂房抵押率：最高不超过50%</w:t>
      </w:r>
    </w:p>
    <w:p>
      <w:r>
        <w:t>- 土地使用权抵押率：最高不超过60%</w:t>
      </w:r>
    </w:p>
    <w:p/>
    <w:p>
      <w:pPr>
        <w:pStyle w:val="Heading3"/>
      </w:pPr>
      <w:r>
        <w:t>1.2 保证担保</w:t>
      </w:r>
    </w:p>
    <w:p>
      <w:pPr>
        <w:pStyle w:val="Heading3"/>
      </w:pPr>
      <w:r>
        <w:t>1.2.1 保证人资格</w:t>
      </w:r>
    </w:p>
    <w:p>
      <w:r>
        <w:t>- 具有代偿能力的法人</w:t>
      </w:r>
    </w:p>
    <w:p>
      <w:r>
        <w:t>- 具有代偿能力的自然人</w:t>
      </w:r>
    </w:p>
    <w:p>
      <w:r>
        <w:t>- 专业担保机构</w:t>
      </w:r>
    </w:p>
    <w:p/>
    <w:p>
      <w:pPr>
        <w:pStyle w:val="Heading3"/>
      </w:pPr>
      <w:r>
        <w:t>1.2.2 保证方式</w:t>
      </w:r>
    </w:p>
    <w:p>
      <w:r>
        <w:t>- 连带责任保证</w:t>
      </w:r>
    </w:p>
    <w:p>
      <w:r>
        <w:t>- 一般责任保证</w:t>
      </w:r>
    </w:p>
    <w:p>
      <w:r>
        <w:t>- 最高额保证</w:t>
      </w:r>
    </w:p>
    <w:p/>
    <w:p>
      <w:pPr>
        <w:pStyle w:val="Heading3"/>
      </w:pPr>
      <w:r>
        <w:t>1.3 信用保险</w:t>
      </w:r>
    </w:p>
    <w:p>
      <w:pPr>
        <w:pStyle w:val="Heading3"/>
      </w:pPr>
      <w:r>
        <w:t>1.3.1 保险类型</w:t>
      </w:r>
    </w:p>
    <w:p>
      <w:r>
        <w:t>- 贷款信用保险</w:t>
      </w:r>
    </w:p>
    <w:p>
      <w:r>
        <w:t>- 保证保险</w:t>
      </w:r>
    </w:p>
    <w:p>
      <w:r>
        <w:t>- 出口信用保险</w:t>
      </w:r>
    </w:p>
    <w:p/>
    <w:p>
      <w:pPr>
        <w:pStyle w:val="Heading3"/>
      </w:pPr>
      <w:r>
        <w:t>1.3.2 保险要求</w:t>
      </w:r>
    </w:p>
    <w:p>
      <w:r>
        <w:t>- 保险金额不低于贷款本金</w:t>
      </w:r>
    </w:p>
    <w:p>
      <w:r>
        <w:t>- 保险期限覆盖贷款期限</w:t>
      </w:r>
    </w:p>
    <w:p>
      <w:r>
        <w:t>- 第一受益人应为银行</w:t>
      </w:r>
    </w:p>
    <w:p/>
    <w:p>
      <w:pPr>
        <w:pStyle w:val="Heading3"/>
      </w:pPr>
      <w:r>
        <w:t>1.4 政府风险补偿基金</w:t>
      </w:r>
    </w:p>
    <w:p>
      <w:pPr>
        <w:pStyle w:val="Heading3"/>
      </w:pPr>
      <w:r>
        <w:t>1.4.1 适用对象</w:t>
      </w:r>
    </w:p>
    <w:p>
      <w:r>
        <w:t>- 小微企业</w:t>
      </w:r>
    </w:p>
    <w:p>
      <w:r>
        <w:t>- 科技型企业</w:t>
      </w:r>
    </w:p>
    <w:p>
      <w:r>
        <w:t>- 创业企业</w:t>
      </w:r>
    </w:p>
    <w:p>
      <w:r>
        <w:t>- 涉农企业</w:t>
      </w:r>
    </w:p>
    <w:p/>
    <w:p>
      <w:pPr>
        <w:pStyle w:val="Heading3"/>
      </w:pPr>
      <w:r>
        <w:t>1.4.2 补偿比例</w:t>
      </w:r>
    </w:p>
    <w:p>
      <w:r>
        <w:t>- 一般不超过贷款损失的30%</w:t>
      </w:r>
    </w:p>
    <w:p>
      <w:r>
        <w:t>- 对重点扶持行业可达50%</w:t>
      </w:r>
    </w:p>
    <w:p>
      <w:r>
        <w:t>- 最高补偿限额通常为500万元</w:t>
      </w:r>
    </w:p>
    <w:p/>
    <w:p>
      <w:pPr>
        <w:pStyle w:val="Heading2"/>
      </w:pPr>
      <w:r>
        <w:t>第二章 贷后检查重点</w:t>
      </w:r>
    </w:p>
    <w:p>
      <w:pPr>
        <w:pStyle w:val="Heading3"/>
      </w:pPr>
      <w:r>
        <w:t>2.1 经营状况检查</w:t>
      </w:r>
    </w:p>
    <w:p>
      <w:r>
        <w:t>- 生产经营是否正常</w:t>
      </w:r>
    </w:p>
    <w:p>
      <w:r>
        <w:t>- 订单和销售情况</w:t>
      </w:r>
    </w:p>
    <w:p>
      <w:r>
        <w:t>- 原材料供应情况</w:t>
      </w:r>
    </w:p>
    <w:p>
      <w:r>
        <w:t>- 员工队伍稳定性</w:t>
      </w:r>
    </w:p>
    <w:p/>
    <w:p>
      <w:pPr>
        <w:pStyle w:val="Heading3"/>
      </w:pPr>
      <w:r>
        <w:t>2.2 财务状况检查</w:t>
      </w:r>
    </w:p>
    <w:p>
      <w:r>
        <w:t>- 现金流状况</w:t>
      </w:r>
    </w:p>
    <w:p>
      <w:r>
        <w:t>- 资产负债情况</w:t>
      </w:r>
    </w:p>
    <w:p>
      <w:r>
        <w:t>- 盈利能力变化</w:t>
      </w:r>
    </w:p>
    <w:p>
      <w:r>
        <w:t>- 偿债能力指标</w:t>
      </w:r>
    </w:p>
    <w:p/>
    <w:p>
      <w:pPr>
        <w:pStyle w:val="Heading3"/>
      </w:pPr>
      <w:r>
        <w:t>2.3 信用状况检查</w:t>
      </w:r>
    </w:p>
    <w:p>
      <w:r>
        <w:t>- 征信报告变化</w:t>
      </w:r>
    </w:p>
    <w:p>
      <w:r>
        <w:t>- 诉讼仲裁情况</w:t>
      </w:r>
    </w:p>
    <w:p>
      <w:r>
        <w:t>- 对外担保情况</w:t>
      </w:r>
    </w:p>
    <w:p>
      <w:r>
        <w:t>- 关联交易情况</w:t>
      </w:r>
    </w:p>
    <w:p/>
    <w:p>
      <w:pPr>
        <w:pStyle w:val="Heading3"/>
      </w:pPr>
      <w:r>
        <w:t>2.4 担保状况检查</w:t>
      </w:r>
    </w:p>
    <w:p>
      <w:r>
        <w:t>- 抵押物保管状况</w:t>
      </w:r>
    </w:p>
    <w:p>
      <w:r>
        <w:t>- 抵押物价值变化</w:t>
      </w:r>
    </w:p>
    <w:p>
      <w:r>
        <w:t>- 保证人经营财务状况</w:t>
      </w:r>
    </w:p>
    <w:p>
      <w:r>
        <w:t>- 保险有效性检查</w:t>
      </w:r>
    </w:p>
    <w:p/>
    <w:p>
      <w:pPr>
        <w:pStyle w:val="Heading2"/>
      </w:pPr>
      <w:r>
        <w:t>第三章 早期预警机制</w:t>
      </w:r>
    </w:p>
    <w:p>
      <w:pPr>
        <w:pStyle w:val="Heading3"/>
      </w:pPr>
      <w:r>
        <w:t>3.1 预警信号</w:t>
      </w:r>
    </w:p>
    <w:p>
      <w:pPr>
        <w:pStyle w:val="Heading3"/>
      </w:pPr>
      <w:r>
        <w:t>3.1.1 财务预警信号</w:t>
      </w:r>
    </w:p>
    <w:p>
      <w:r>
        <w:t>- 销售收入连续3个月下降超过20%</w:t>
      </w:r>
    </w:p>
    <w:p>
      <w:r>
        <w:t>- 经营性现金流连续3个月为负</w:t>
      </w:r>
    </w:p>
    <w:p>
      <w:r>
        <w:t>- 资产负债率上升超过10个百分点</w:t>
      </w:r>
    </w:p>
    <w:p>
      <w:r>
        <w:t>- 流动比率下降至1.0以下</w:t>
      </w:r>
    </w:p>
    <w:p/>
    <w:p>
      <w:pPr>
        <w:pStyle w:val="Heading3"/>
      </w:pPr>
      <w:r>
        <w:t>3.1.2 经营预警信号</w:t>
      </w:r>
    </w:p>
    <w:p>
      <w:r>
        <w:t>- 主要客户流失</w:t>
      </w:r>
    </w:p>
    <w:p>
      <w:r>
        <w:t>- 关键技术人员离职</w:t>
      </w:r>
    </w:p>
    <w:p>
      <w:r>
        <w:t>- 主要设备老化严重</w:t>
      </w:r>
    </w:p>
    <w:p>
      <w:r>
        <w:t>- 行业政策重大变化</w:t>
      </w:r>
    </w:p>
    <w:p/>
    <w:p>
      <w:pPr>
        <w:pStyle w:val="Heading3"/>
      </w:pPr>
      <w:r>
        <w:t>3.1.3 行为预警信号</w:t>
      </w:r>
    </w:p>
    <w:p>
      <w:r>
        <w:t>- 还款意愿下降</w:t>
      </w:r>
    </w:p>
    <w:p>
      <w:r>
        <w:t>- 拒绝银行检查</w:t>
      </w:r>
    </w:p>
    <w:p>
      <w:r>
        <w:t>- 联系方式变更未通知</w:t>
      </w:r>
    </w:p>
    <w:p>
      <w:r>
        <w:t>- 转移资产迹象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