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D18C" w14:textId="77777777" w:rsidR="002927B3" w:rsidRDefault="00000000">
      <w:pPr>
        <w:pStyle w:val="1"/>
      </w:pPr>
      <w:r>
        <w:t>普惠支行报告</w:t>
      </w:r>
    </w:p>
    <w:p w14:paraId="1C8CD9AE" w14:textId="77777777" w:rsidR="002927B3" w:rsidRDefault="00000000">
      <w:pPr>
        <w:rPr>
          <w:rFonts w:hint="eastAsia"/>
        </w:rPr>
      </w:pPr>
      <w:r>
        <w:t>支行：</w:t>
      </w:r>
      <w:commentRangeStart w:id="1"/>
      <w:r>
        <w:t xml:space="preserve">A支行</w:t>
      </w:r>
      <w:commentRangeEnd w:id="1"/>
      <w:r>
        <w:commentReference w:id="1"/>
      </w:r>
      <w:r>
        <w:t>，报告期：</w:t>
      </w:r>
      <w:commentRangeStart w:id="2"/>
      <w:r>
        <w:t xml:space="preserve">2026-03-31 00:00:00</w:t>
      </w:r>
      <w:commentRangeEnd w:id="2"/>
      <w:r>
        <w:commentReference w:id="2"/>
      </w:r>
    </w:p>
    <w:p w14:paraId="62879863" w14:textId="77777777" w:rsidR="002927B3" w:rsidRDefault="00000000">
      <w:pPr>
        <w:rPr>
          <w:rFonts w:hint="eastAsia"/>
        </w:rPr>
      </w:pPr>
      <w:r>
        <w:t xml:space="preserve">普惠贷款余额为</w:t>
      </w:r>
      <w:commentRangeStart w:id="3"/>
      <w:r>
        <w:t xml:space="preserve"> 1250 </w:t>
      </w:r>
      <w:commentRangeEnd w:id="3"/>
      <w:r>
        <w:commentReference w:id="3"/>
      </w:r>
      <w:r>
        <w:t xml:space="preserve">万元；房产评估金额</w:t>
      </w:r>
      <w:r>
        <w:t xml:space="preserve"> 900 </w:t>
      </w:r>
      <w:r>
        <w:t>万元。</w:t>
      </w:r>
    </w:p>
    <w:p w14:paraId="06EE064E" w14:textId="77777777" w:rsidR="002927B3" w:rsidRDefault="00000000">
      <w:pPr>
        <w:rPr>
          <w:rFonts w:hint="eastAsia"/>
        </w:rPr>
      </w:pPr>
      <w:r>
        <w:t>清偿能力判断：</w:t>
      </w:r>
      <w:r>
        <w:t xml:space="preserve"/>
      </w:r>
      <w:r>
        <w:t>无法清偿</w:t>
      </w:r>
      <w:r>
        <w:t xml:space="preserve"/>
      </w:r>
      <w:r>
        <w:t>。</w:t>
      </w:r>
    </w:p>
    <w:p w14:paraId="747486DF" w14:textId="77777777" w:rsidR="002927B3" w:rsidRDefault="00000000">
      <w:pPr>
        <w:rPr>
          <w:rFonts w:hint="eastAsia"/>
        </w:rPr>
      </w:pPr>
      <w:r>
        <w:t>各产品不良情况：</w:t>
      </w:r>
    </w:p>
    <w:tbl>
      <w:tblPr>
        <w:tblStyle w:val="aff1"/>
        <w:tblW w:w="0" w:type="auto"/>
        <w:tblLook w:val="04A0" w:firstRow="1" w:lastRow="0" w:firstColumn="1" w:lastColumn="0" w:noHBand="0" w:noVBand="1"/>
      </w:tblPr>
      <w:tblGrid>
        <w:gridCol w:w="4320"/>
        <w:gridCol w:w="4320"/>
      </w:tblGrid>
      <w:tr w:rsidR="002927B3" w14:paraId="3B48D70F" w14:textId="77777777">
        <w:tc>
          <w:tcPr>
            <w:tcW w:w="4320" w:type="dxa"/>
          </w:tcPr>
          <w:p w14:paraId="3566FD1E" w14:textId="77777777" w:rsidR="002927B3" w:rsidRDefault="00000000">
            <w:pPr>
              <w:rPr>
                <w:rFonts w:hint="eastAsia"/>
              </w:rPr>
            </w:pPr>
            <w:r>
              <w:t>产品名称</w:t>
            </w:r>
          </w:p>
        </w:tc>
        <w:tc>
          <w:tcPr>
            <w:tcW w:w="4320" w:type="dxa"/>
          </w:tcPr>
          <w:p w14:paraId="4B093526" w14:textId="77777777" w:rsidR="002927B3" w:rsidRDefault="00000000">
            <w:pPr>
              <w:rPr>
                <w:rFonts w:hint="eastAsia"/>
              </w:rPr>
            </w:pPr>
            <w:r>
              <w:t>不良率</w:t>
            </w:r>
            <w:r>
              <w:t>(%)</w:t>
            </w:r>
          </w:p>
        </w:tc>
      </w:tr>
      <w:tr w:rsidR="002927B3" w14:paraId="3E3269D4" w14:textId="77777777">
        <w:tc>
          <w:tcPr>
            <w:tcW w:w="4320" w:type="dxa"/>
          </w:tcPr>
          <w:p w14:paraId="498EB4B2" w14:textId="77777777" w:rsidR="002927B3" w:rsidRDefault="00000000">
            <w:pPr>
              <w:rPr>
                <w:rFonts w:hint="eastAsia"/>
              </w:rPr>
            </w:pPr>
            <w:r>
              <w:t xml:space="preserve">法人e抵</w:t>
            </w:r>
          </w:p>
        </w:tc>
        <w:tc>
          <w:tcPr>
            <w:tcW w:w="4320" w:type="dxa"/>
          </w:tcPr>
          <w:p w14:paraId="02B6E9C2" w14:textId="77777777" w:rsidR="002927B3" w:rsidRDefault="00000000">
            <w:pPr>
              <w:rPr>
                <w:rFonts w:hint="eastAsia"/>
              </w:rPr>
            </w:pPr>
            <w:r>
              <w:t xml:space="preserve">1.2</w:t>
            </w:r>
          </w:p>
        </w:tc>
      </w:tr>
      <w:tr w:rsidR="002927B3" w14:paraId="3E3269D4" w14:textId="77777777">
        <w:tc>
          <w:tcPr>
            <w:tcW w:w="4320" w:type="dxa"/>
          </w:tcPr>
          <w:p w14:paraId="498EB4B2" w14:textId="77777777" w:rsidR="002927B3" w:rsidRDefault="00000000">
            <w:pPr>
              <w:rPr>
                <w:rFonts w:hint="eastAsia"/>
              </w:rPr>
            </w:pPr>
            <w:r>
              <w:t xml:space="preserve">个人e抵押</w:t>
            </w:r>
          </w:p>
        </w:tc>
        <w:tc>
          <w:tcPr>
            <w:tcW w:w="4320" w:type="dxa"/>
          </w:tcPr>
          <w:p w14:paraId="02B6E9C2" w14:textId="77777777" w:rsidR="002927B3" w:rsidRDefault="00000000">
            <w:pPr>
              <w:rPr>
                <w:rFonts w:hint="eastAsia"/>
              </w:rPr>
            </w:pPr>
            <w:r>
              <w:t xml:space="preserve">0.4</w:t>
            </w:r>
          </w:p>
        </w:tc>
      </w:tr>
    </w:tbl>
    <w:p w14:paraId="440A29CD" w14:textId="77777777" w:rsidR="002927B3" w:rsidRDefault="00000000">
      <w:pPr>
        <w:rPr>
          <w:rFonts w:hint="eastAsia"/>
          <w:lang w:eastAsia="zh-CN"/>
        </w:rPr>
      </w:pPr>
      <w:r>
        <w:rPr>
          <w:lang w:eastAsia="zh-CN"/>
        </w:rPr>
        <w:t>风险分析（以下段落将由</w:t>
      </w:r>
      <w:r>
        <w:rPr>
          <w:lang w:eastAsia="zh-CN"/>
        </w:rPr>
        <w:t xml:space="preserve"> AI </w:t>
      </w:r>
      <w:r>
        <w:rPr>
          <w:lang w:eastAsia="zh-CN"/>
        </w:rPr>
        <w:t>改写）：</w:t>
      </w:r>
    </w:p>
    <w:p w14:paraId="54F26B8C" w14:textId="77777777" w:rsidR="002927B3" w:rsidRDefault="00000000">
      <w:pPr>
        <w:rPr>
          <w:rFonts w:hint="eastAsia"/>
        </w:rPr>
      </w:pPr>
      <w:commentRangeStart w:id="0"/>
      <w:commentRangeStart w:id="4"/>
      <w:r>
        <w:t>根据不良额环比增长0.12（即12%）、同比增长0.35（即35%）的数据，结合我行普惠金融业务的风险特征，现对该支行的风险状况进行分析并提出相应建议。
**一、 风险状况分析**
1.  **风险呈加速暴露趋势**：不良额环比与同比均呈现显著增长，尤其是同比增幅高达35%，表明该支行面临的信用风险正在快速积累和显现，风险暴露速度较前期明显加快。环比12%的增长也显示近期风险仍在持续攀升，需引起高度警惕。
2.  **资产质量下行压力加大**：不良额的快速增长直接反映了该支行部分普惠金融资产的质量出现恶化。这可能与特定客户群体（如受经济周期波动影响较大的小微企业、个体工商户）、特定行业（如受政策调整或市场环境变化冲击的行业）的还款能力下降有关，也可能与支行前期业务增长较快、风险管控未能完全同步有关。
3.  **潜在风险管控环节需审视**：不良双升通常关联贷前调查、贷中审查、贷后管理等多个环节。可能存在的问题包括但不限于：客户准入标准执行不严、风险识别不够精准、授信审批过于宽松、资金用途监控不到位、以及风险预警与早期干预不及时等。
**二、 针对性建议**
1.  **立即启动专项风险排查**：建议该支行立即对现有普惠金融资产，特别是关注类贷款及近期新增贷款，进行全面的风险排查。重点排查不良额增长较快的客户群体、行业领域及业务产品，深入分析风险成因，准确识别风险源头。
2.  **强化贷后管理与风险预警**：立即加强存量贷款的贷后监测频率与深度，充分利用风险预警系统，对出现还款逾期、经营状况恶化、涉诉、征信状况变化等风险信号的客户，要第一时间介入，评估风险程度，并采取包括但不限于电话催收、上门核查、协商还款计划、补充增信措施等早期干预手段，防止风险进一步扩散。
3.  **收紧风险准入与审批政策**：在风险形势明显好转前，建议审慎控制新增业务节奏。针对风险高发区域、行业或客户类型，可考虑临时性收紧准入标准、提高审批门槛、降低授信额度或要求提供更强有力的担保措施，从源头控制新增风险。
4.  **加大不良资产清收处置力度**：组建或强化清收团队，针对已形成的不良贷款，制定“一户一策”的清收处置方案。综合运用现金清收、资产重组、以物抵债、依法诉讼等多种手段，加快风险资产处置速度，压降不良余额，防止风险长期滞留。
5.  **深化风险文化传导与培训**：组织相关业务与风险管理人员进行案例复盘与风险培训，强化全员风险意识。确保一线人员深刻理解当前风险形势的严峻性，并将风险防控要求切实贯彻到业务拓展与管理的每一个环节中。
请该支行结合上述分析与建议，迅速制定并实施具体的风险化解与管控行动计划，定期汇报进展，切实遏制资产质量下滑势头，保障业务稳健可持续发展。</w:t>
      </w:r>
      <w:commentRangeEnd w:id="4"/>
      <w:r>
        <w:commentReference w:id="4"/>
      </w:r>
      <w:r>
        <w:t/>
      </w:r>
      <w:r>
        <w:t xml:space="preserve"/>
      </w:r>
      <w:r>
        <w:t/>
      </w:r>
      <w:r>
        <w:t xml:space="preserve"/>
      </w:r>
      <w:r>
        <w:t/>
      </w:r>
      <w:commentRangeEnd w:id="0"/>
      <w:r>
        <w:commentReference w:id="0"/>
      </w:r>
    </w:p>
    <w:sectPr w:rsidR="002927B3"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 w:date="2026-03-28T05:41:00Z" w:initials="AI">
    <w:p w14:paraId="7DCB59D9" w14:textId="518C8251" w:rsidR="002927B3" w:rsidRDefault="00000000">
      <w:pPr>
        <w:rPr>
          <w:rFonts w:hint="eastAsia"/>
        </w:rPr>
      </w:pPr>
      <w:r>
        <w:annotationRef/>
      </w:r>
      <w:r>
        <w:t>prompt="</w:t>
      </w:r>
      <w:r>
        <w:t>基于</w:t>
      </w:r>
      <w:r w:rsidR="00006656" w:rsidRPr="00006656">
        <w:t>{kb:puhui_daikou_buliang}</w:t>
      </w:r>
      <w:r w:rsidR="00006656" w:rsidRPr="00006656">
        <w:t>知</w:t>
      </w:r>
      <w:r w:rsidR="00006656" w:rsidRPr="00006656">
        <w:rPr>
          <w:rFonts w:ascii="微软雅黑" w:eastAsia="微软雅黑" w:hAnsi="微软雅黑" w:cs="微软雅黑" w:hint="eastAsia"/>
        </w:rPr>
        <w:t>识库</w:t>
      </w:r>
      <w:r w:rsidR="00006656">
        <w:rPr>
          <w:rFonts w:ascii="微软雅黑" w:eastAsia="微软雅黑" w:hAnsi="微软雅黑" w:cs="微软雅黑" w:hint="eastAsia"/>
          <w:lang w:eastAsia="zh-CN"/>
        </w:rPr>
        <w:t>，以及</w:t>
      </w:r>
      <w:r>
        <w:t>不良额环比</w:t>
      </w:r>
      <w:r>
        <w:t>{{ data.bad_mom }}</w:t>
      </w:r>
      <w:r>
        <w:t>、同比</w:t>
      </w:r>
      <w:r>
        <w:t>{{ data.bad_yoy }}</w:t>
      </w:r>
      <w:r>
        <w:t>数据，分析该支行风险状况，给出针对性建议</w:t>
      </w:r>
      <w:r>
        <w:t>"</w:t>
      </w:r>
    </w:p>
  </w:comment>
  <w:comment w:id="1" w:author="数据溯源" w:date="2026-03-29T16:39:36Z" w:initials="SRC">
    <w:p>
      <w:r>
        <w:t xml:space="preserve">[数据来源] 表=branch_main 字段=branch_name 值=A支行 | 变量=data.branch_name | 主键=A支行</w:t>
      </w:r>
    </w:p>
  </w:comment>
  <w:comment w:id="2" w:author="数据溯源" w:date="2026-03-29T16:39:36Z" w:initials="SRC">
    <w:p>
      <w:r>
        <w:t xml:space="preserve">[数据来源] 表=branch_main 字段=report_date 值=2026-03-31 00:00:00 | 变量=data.report_date | 主键=A支行</w:t>
      </w:r>
    </w:p>
  </w:comment>
  <w:comment w:id="3" w:author="数据溯源" w:date="2026-03-29T16:39:36Z" w:initials="SRC">
    <w:p>
      <w:r>
        <w:t xml:space="preserve">[数据来源] 表=loan_summary 字段=loan_balance 值=1250 | 变量=loan_summary.loan_balance | 主键=A支行</w:t>
      </w:r>
    </w:p>
  </w:comment>
  <w:comment w:id="4" w:author="AI" w:date="2026-03-29T16:39:36Z" w:initials="AI">
    <w:p>
      <w:r>
        <w:t xml:space="preserve">[AI生成说明] 标记=§AIBLOCK0§
[PROMPT]
基于{kb:puhui_daikou_buliang}知识库，以及不良额环比0.12、同比0.35数据，分析该支行风险状况，给出针对性建议
[OUTPUT]
根据不良额环比增长0.12（即12%）、同比增长0.35（即35%）的数据，结合我行普惠金融业务的风险特征，现对该支行的风险状况进行分析并提出相应建议。
**一、 风险状况分析**
1.  **风险呈加速暴露趋势**：不良额环比与同比均呈现显著增长，尤其是同比增幅高达35%，表明该支行面临的信用风险正在快速积累和显现，风险暴露速度较前期明显加快。环比12%的增长也显示近期风险仍在持续攀升，需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B59D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B59D9" w16cid:durableId="774B45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0909689">
    <w:abstractNumId w:val="8"/>
  </w:num>
  <w:num w:numId="2" w16cid:durableId="873689306">
    <w:abstractNumId w:val="6"/>
  </w:num>
  <w:num w:numId="3" w16cid:durableId="771165287">
    <w:abstractNumId w:val="5"/>
  </w:num>
  <w:num w:numId="4" w16cid:durableId="940648935">
    <w:abstractNumId w:val="4"/>
  </w:num>
  <w:num w:numId="5" w16cid:durableId="1272326318">
    <w:abstractNumId w:val="7"/>
  </w:num>
  <w:num w:numId="6" w16cid:durableId="722556475">
    <w:abstractNumId w:val="3"/>
  </w:num>
  <w:num w:numId="7" w16cid:durableId="106892994">
    <w:abstractNumId w:val="2"/>
  </w:num>
  <w:num w:numId="8" w16cid:durableId="359817076">
    <w:abstractNumId w:val="1"/>
  </w:num>
  <w:num w:numId="9" w16cid:durableId="186963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56"/>
    <w:rsid w:val="00034616"/>
    <w:rsid w:val="0006063C"/>
    <w:rsid w:val="0015074B"/>
    <w:rsid w:val="002927B3"/>
    <w:rsid w:val="0029639D"/>
    <w:rsid w:val="00326F90"/>
    <w:rsid w:val="006B08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F7870D"/>
  <w14:defaultImageDpi w14:val="300"/>
  <w15:docId w15:val="{42B488F6-544F-4E19-ABFE-5C801046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annotation text"/>
    <w:basedOn w:val="a1"/>
    <w:link w:val="affa"/>
    <w:uiPriority w:val="99"/>
    <w:semiHidden/>
    <w:unhideWhenUsed/>
  </w:style>
  <w:style w:type="character" w:customStyle="1" w:styleId="affa">
    <w:name w:val="批注文字 字符"/>
    <w:basedOn w:val="a2"/>
    <w:link w:val="aff9"/>
    <w:uiPriority w:val="99"/>
    <w:semiHidden/>
    <w:rPr>
      <w:rFonts w:ascii="宋体" w:hAnsi="宋体"/>
    </w:rPr>
  </w:style>
  <w:style w:type="character" w:styleId="affb">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331</Characters>
  <Application>Microsoft Office Word</Application>
  <DocSecurity>0</DocSecurity>
  <Lines>15</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韩俊 汤</cp:lastModifiedBy>
  <cp:revision>2</cp:revision>
  <dcterms:created xsi:type="dcterms:W3CDTF">2013-12-23T23:15:00Z</dcterms:created>
  <dcterms:modified xsi:type="dcterms:W3CDTF">2026-03-29T16:24:00Z</dcterms:modified>
  <cp:category/>
  <dc:identifier/>
  <dc:language/>
</cp:coreProperties>
</file>