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李娜，性别女，身份证号码440300198805123008，文化程度硕士，婚姻状况已婚。借款人户籍及居住地址：户籍：广东省广州市天河区天河北路88号，居住：广东省广州市天河区珠江新城华强路23号。借款人为广州慧联科技有限公司法人代表及股东。经调查，经营实体广州慧联科技有限公司的注册资本500000元，目前营业状态为正常经营，截至尽职调查日在我行办理法人e抵押，融资余额98005200，已为不良贷款。</w:t>
      </w:r>
      <w:bookmarkStart w:id="0" w:name="_Hlk225700269"/>
      <w:r w:rsidRPr="00EB247C">
        <w:t xml:space="preserve">截至基准日2026-01-14 00:00:00，借款人李娜在我行有一笔法人e抵押贷款，本金余额 1000000元，积欠利息15000元，本息合计850245元。截至尽职调查日，借款人在我行融资总额为4100000元，其中本笔网贷通贷款本金余额 1500000元，积欠利息合计40000元，本息合计520010元。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0400000001-2026年(信)字00007号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0400000001-2026年(信)字00240号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92787.13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王强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0400000001-2026年(信)字00241号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0400000001-2026年(信)字00242号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 xml:space="preserve">担保方式为最高额抵质押的最高额不能够覆盖全部债权本息</w:t>
      </w:r>
      <w:r>
        <w:t xml:space="preserve"> 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Pr="00E80ED4" w:rsidRDefault="00E80ED4" w:rsidP="00E80ED4">
      <w:pPr>
        <w:rPr>
          <w:rFonts w:hint="eastAsia"/>
        </w:rPr>
      </w:pPr>
      <w:commentRangeStart w:id="1"/>
      <w:r>
        <w:t>§AIBLOCK0§</w:t>
      </w:r>
      <w:r w:rsidR="00CB0809" w:rsidRPr="00CB0809">
        <w:rPr>
          <w:rFonts w:hint="eastAsia"/>
        </w:rPr>
        <w:t xml:space="preserve">借款人情况：广州慧联科技有限公司公司成立于X年X月X日，注册地址X（有无办公营业)，实际经营地址X，法定代表人及实际控制人X，注册资本X万元.公司股权结构为：X，公司经营范围为：X。该公司在我行的客户代码为4000920260329002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024F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C610C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88D8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B5444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434</Words>
  <Characters>1034</Characters>
  <Application>Microsoft Office Word</Application>
  <DocSecurity>0</DocSecurity>
  <Lines>68</Lines>
  <Paragraphs>25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16</cp:revision>
  <dcterms:created xsi:type="dcterms:W3CDTF">2026-03-29T08:33:00Z</dcterms:created>
  <dcterms:modified xsi:type="dcterms:W3CDTF">2026-03-29T16:48:00Z</dcterms:modified>
  <dc:identifier/>
  <dc:language/>
</cp:coreProperties>
</file>