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DD18C" w14:textId="77777777" w:rsidR="002927B3" w:rsidRDefault="00000000">
      <w:pPr>
        <w:pStyle w:val="1"/>
      </w:pPr>
      <w:r>
        <w:t>普惠支行报告</w:t>
      </w:r>
    </w:p>
    <w:p w14:paraId="1C8CD9AE" w14:textId="340050D4" w:rsidR="002927B3" w:rsidRDefault="00000000">
      <w:pPr>
        <w:rPr>
          <w:rFonts w:hint="eastAsia"/>
        </w:rPr>
      </w:pPr>
      <w:r>
        <w:t xml:space="preserve">支行：</w:t>
      </w:r>
      <w:r>
        <w:t xml:space="preserve">A支行</w:t>
      </w:r>
      <w:r>
        <w:t xml:space="preserve">，报告期：</w:t>
      </w:r>
      <w:r>
        <w:t xml:space="preserve">2026-03-31 00:00:00</w:t>
      </w:r>
    </w:p>
    <w:p w14:paraId="62879863" w14:textId="77777777" w:rsidR="002927B3" w:rsidRDefault="00000000">
      <w:pPr>
        <w:rPr>
          <w:rFonts w:hint="eastAsia"/>
        </w:rPr>
      </w:pPr>
      <w:r>
        <w:t xml:space="preserve">普惠贷款余额为</w:t>
      </w:r>
      <w:r>
        <w:t xml:space="preserve"> 1250 </w:t>
      </w:r>
      <w:r>
        <w:t xml:space="preserve">万元；房产评估金额</w:t>
      </w:r>
      <w:r>
        <w:t xml:space="preserve"> 900 </w:t>
      </w:r>
      <w:r>
        <w:t>万元。</w:t>
      </w:r>
    </w:p>
    <w:p w14:paraId="06EE064E" w14:textId="77777777" w:rsidR="002927B3" w:rsidRDefault="00000000">
      <w:pPr>
        <w:rPr>
          <w:rFonts w:hint="eastAsia"/>
        </w:rPr>
      </w:pPr>
      <w:r>
        <w:t>清偿能力判断：</w:t>
      </w:r>
      <w:r>
        <w:t xml:space="preserve"/>
      </w:r>
      <w:r>
        <w:t>无法清偿</w:t>
      </w:r>
      <w:r>
        <w:t xml:space="preserve"/>
      </w:r>
      <w:r>
        <w:t>。</w:t>
      </w:r>
    </w:p>
    <w:p w14:paraId="747486DF" w14:textId="77777777" w:rsidR="002927B3" w:rsidRDefault="00000000">
      <w:pPr>
        <w:rPr>
          <w:rFonts w:hint="eastAsia"/>
        </w:rPr>
      </w:pPr>
      <w:r>
        <w:t>各产品不良情况：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927B3" w14:paraId="3B48D70F" w14:textId="77777777">
        <w:tc>
          <w:tcPr>
            <w:tcW w:w="4320" w:type="dxa"/>
          </w:tcPr>
          <w:p w14:paraId="3566FD1E" w14:textId="77777777" w:rsidR="002927B3" w:rsidRDefault="00000000">
            <w:pPr>
              <w:rPr>
                <w:rFonts w:hint="eastAsia"/>
              </w:rPr>
            </w:pPr>
            <w:r>
              <w:t>产品名称</w:t>
            </w:r>
          </w:p>
        </w:tc>
        <w:tc>
          <w:tcPr>
            <w:tcW w:w="4320" w:type="dxa"/>
          </w:tcPr>
          <w:p w14:paraId="4B093526" w14:textId="77777777" w:rsidR="002927B3" w:rsidRDefault="00000000">
            <w:pPr>
              <w:rPr>
                <w:rFonts w:hint="eastAsia"/>
              </w:rPr>
            </w:pPr>
            <w:r>
              <w:t>不良率</w:t>
            </w:r>
            <w:r>
              <w:t>(%)</w:t>
            </w:r>
          </w:p>
        </w:tc>
      </w:tr>
      <w:tr w:rsidR="002927B3" w14:paraId="3E3269D4" w14:textId="77777777">
        <w:tc>
          <w:tcPr>
            <w:tcW w:w="4320" w:type="dxa"/>
          </w:tcPr>
          <w:p w14:paraId="498EB4B2" w14:textId="77777777" w:rsidR="002927B3" w:rsidRDefault="00000000">
            <w:pPr>
              <w:rPr>
                <w:rFonts w:hint="eastAsia"/>
              </w:rPr>
            </w:pPr>
            <w:r>
              <w:t xml:space="preserve">法人e抵</w:t>
            </w:r>
          </w:p>
        </w:tc>
        <w:tc>
          <w:tcPr>
            <w:tcW w:w="4320" w:type="dxa"/>
          </w:tcPr>
          <w:p w14:paraId="02B6E9C2" w14:textId="77777777" w:rsidR="002927B3" w:rsidRDefault="00000000">
            <w:pPr>
              <w:rPr>
                <w:rFonts w:hint="eastAsia"/>
              </w:rPr>
            </w:pPr>
            <w:r>
              <w:t xml:space="preserve">2.7</w:t>
            </w:r>
          </w:p>
        </w:tc>
      </w:tr>
      <w:tr w:rsidR="002927B3" w14:paraId="3E3269D4" w14:textId="77777777">
        <w:tc>
          <w:tcPr>
            <w:tcW w:w="4320" w:type="dxa"/>
          </w:tcPr>
          <w:p w14:paraId="498EB4B2" w14:textId="77777777" w:rsidR="002927B3" w:rsidRDefault="00000000">
            <w:pPr>
              <w:rPr>
                <w:rFonts w:hint="eastAsia"/>
              </w:rPr>
            </w:pPr>
            <w:r>
              <w:t xml:space="preserve">个人e抵押</w:t>
            </w:r>
          </w:p>
        </w:tc>
        <w:tc>
          <w:tcPr>
            <w:tcW w:w="4320" w:type="dxa"/>
          </w:tcPr>
          <w:p w14:paraId="02B6E9C2" w14:textId="77777777" w:rsidR="002927B3" w:rsidRDefault="00000000">
            <w:pPr>
              <w:rPr>
                <w:rFonts w:hint="eastAsia"/>
              </w:rPr>
            </w:pPr>
            <w:r>
              <w:t xml:space="preserve">2.2</w:t>
            </w:r>
          </w:p>
        </w:tc>
      </w:tr>
    </w:tbl>
    <w:p w14:paraId="440A29CD" w14:textId="77777777" w:rsidR="002927B3" w:rsidRDefault="00000000">
      <w:pPr>
        <w:rPr>
          <w:rFonts w:hint="eastAsia"/>
          <w:lang w:eastAsia="zh-CN"/>
        </w:rPr>
      </w:pPr>
      <w:r>
        <w:rPr>
          <w:lang w:eastAsia="zh-CN"/>
        </w:rPr>
        <w:t>风险分析（以下段落将由</w:t>
      </w:r>
      <w:r>
        <w:rPr>
          <w:lang w:eastAsia="zh-CN"/>
        </w:rPr>
        <w:t xml:space="preserve"> AI </w:t>
      </w:r>
      <w:r>
        <w:rPr>
          <w:lang w:eastAsia="zh-CN"/>
        </w:rPr>
        <w:t>改写）：</w:t>
      </w:r>
    </w:p>
    <w:p w14:paraId="54F26B8C" w14:textId="410F7CAC" w:rsidR="002927B3" w:rsidRDefault="00000000">
      <w:pPr>
        <w:rPr>
          <w:rFonts w:hint="eastAsia"/>
        </w:rPr>
      </w:pPr>
      <w:r>
        <w:t>根据提供的知识库（普惠贷款不良相关）及不良额环比增长0.12、同比增长0.35的数据，对该支行风险状况分析及建议如下：</w:t>
        <w:br/>
        <w:t/>
        <w:br/>
        <w:t>---</w:t>
        <w:br/>
        <w:t/>
        <w:br/>
        <w:t>### 一、风险状况分析</w:t>
        <w:br/>
        <w:t/>
        <w:br/>
        <w:t xml:space="preserve">1. **不良额呈现“双升”态势，风险暴露加速**  </w:t>
        <w:br/>
        <w:t xml:space="preserve">   - 不良额环比增长0.12（即12%），表明近期风险资产规模在短期内快速上升，可能反映出近期贷款审批质量下降、贷后管理滞后或区域经济环境出现短期波动。</w:t>
        <w:br/>
        <w:t xml:space="preserve">   - 不良额同比增长0.35（即35%），说明风险积累已持续较长时间，存量风险化解效果不佳，新增不良未能被有效消化。</w:t>
        <w:br/>
        <w:t/>
        <w:br/>
        <w:t xml:space="preserve">2. **普惠贷款领域风险特征明显**  </w:t>
        <w:br/>
        <w:t xml:space="preserve">   - 普惠贷款客户群体多为小微企业、个体工商户，抗风险能力较弱，易受市场波动、政策调整及经营成本上升等因素影响。</w:t>
        <w:br/>
        <w:t xml:space="preserve">   - 结合知识库中普惠贷款不良的常见成因（如多头授信、经营流水造假、抵押物不足等），该支行可能存在客户准入把关不严、贷前调查流于形式等问题。</w:t>
        <w:br/>
        <w:t/>
        <w:br/>
        <w:t xml:space="preserve">3. **风险传导链条可能已形成**  </w:t>
        <w:br/>
        <w:t xml:space="preserve">   - 环比与同比数据同步恶化，说明风险并非偶发，而是具有持续性。若未及时干预，可能进一步引发连锁反应，如不良率突破监管红线、拨备覆盖率下降、利润侵蚀等。</w:t>
        <w:br/>
        <w:t/>
        <w:br/>
        <w:t>---</w:t>
        <w:br/>
        <w:t/>
        <w:br/>
        <w:t>### 二、针对性建议</w:t>
        <w:br/>
        <w:t/>
        <w:br/>
        <w:t>#### （一）立即开展风险排查与分类处置</w:t>
        <w:br/>
        <w:t>- **逐户排查**：对存量不良及关注类贷款进行逐笔分析，区分“临时性困难”与“实质性违约”，建立风险台账。</w:t>
        <w:br/>
        <w:t>- **分类施策**：</w:t>
        <w:br/>
        <w:t xml:space="preserve">  - 对有还款意愿但暂时困难的企业，通过展期、无还本续贷、调整还款计划等方式缓解压力。</w:t>
        <w:br/>
        <w:t xml:space="preserve">  - 对恶意逃废债或经营已停滞的客户，启动法律清收程序，加快核销进度。</w:t>
        <w:br/>
        <w:t/>
        <w:br/>
        <w:t>#### （二）强化贷前准入与贷后管理</w:t>
        <w:br/>
        <w:t>- **优化客户筛选标准**：提高对经营流水、纳税记录、征信查询次数等硬性指标的权重，减少对单一抵押物的依赖。</w:t>
        <w:br/>
        <w:t>- **加强贷后监控频率**：对普惠贷款客户实施“季度回访+月度预警”，重点关注资金流向、经营场所变化、关联企业风险等。</w:t>
        <w:br/>
        <w:t/>
        <w:br/>
        <w:t>#### （三）完善风险预警与考核机制</w:t>
        <w:br/>
        <w:t>- **建立动态预警模型**：将环比、同比等指标纳入日常监测，设定阈值（如环比超10%即触发预警），实现早发现、早干预。</w:t>
        <w:br/>
        <w:t>- **调整考核导向**：降低“规模增长”权重，提高“资产质量”与“风险化解”在绩效考核中的占比，避免为完成指标而放松风控。</w:t>
        <w:br/>
        <w:t/>
        <w:br/>
        <w:t>#### （四）争取上级行政策支持</w:t>
        <w:br/>
        <w:t>- 申请专项核销额度或不良资产打包转让，快速压降不良余额。</w:t>
        <w:br/>
        <w:t>- 争取差异化授信政策，如对优质普惠客户给予利率优惠，引导信贷资源向低风险领域倾斜。</w:t>
        <w:br/>
        <w:t/>
        <w:br/>
        <w:t>#### （五）加强员工风险合规培训</w:t>
        <w:br/>
        <w:t>- 组织案例警示教育，重点剖析近期不良成因，提升客户经理对虚假资料、关联交易等风险的识别能力。</w:t>
        <w:br/>
        <w:t>- 建立“尽职免责”与“违规追责”并行的机制，既保护合规人员积极性，又严惩违规操作。</w:t>
        <w:br/>
        <w:t/>
        <w:br/>
        <w:t>---</w:t>
        <w:br/>
        <w:t/>
        <w:br/>
        <w:t>### 三、总结</w:t>
        <w:br/>
        <w:t/>
        <w:br/>
        <w:t>该支行当前面临的不良额“双升”问题已构成实质性风险，需立即采取“排查-处置-优化-防控”组合措施。短期以压降存量不良、防止新增恶化为核心，中长期应重构普惠贷款风控体系，实现规模与质量的平衡发展。</w:t>
      </w:r>
    </w:p>
    <w:sectPr w:rsidR="002927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I" w:date="2026-03-28T05:41:00Z" w:initials="AI">
    <w:p w14:paraId="7DCB59D9" w14:textId="6F86F5B5" w:rsidR="002927B3" w:rsidRDefault="00000000">
      <w:pPr>
        <w:rPr>
          <w:rFonts w:hint="eastAsia"/>
        </w:rPr>
      </w:pPr>
      <w:r>
        <w:annotationRef/>
      </w:r>
      <w:r>
        <w:t>prompt="</w:t>
      </w:r>
      <w:r>
        <w:t>基于</w:t>
      </w:r>
      <w:r w:rsidR="00006656" w:rsidRPr="00006656">
        <w:t>{kb:puhui_daikou_buliang}</w:t>
      </w:r>
      <w:r w:rsidR="00006656" w:rsidRPr="00006656">
        <w:t>知</w:t>
      </w:r>
      <w:r w:rsidR="00006656" w:rsidRPr="00006656">
        <w:rPr>
          <w:rFonts w:ascii="微软雅黑" w:eastAsia="微软雅黑" w:hAnsi="微软雅黑" w:cs="微软雅黑" w:hint="eastAsia"/>
        </w:rPr>
        <w:t>识库</w:t>
      </w:r>
      <w:r w:rsidR="00006656">
        <w:rPr>
          <w:rFonts w:ascii="微软雅黑" w:eastAsia="微软雅黑" w:hAnsi="微软雅黑" w:cs="微软雅黑" w:hint="eastAsia"/>
          <w:lang w:eastAsia="zh-CN"/>
        </w:rPr>
        <w:t>，以及</w:t>
      </w:r>
      <w:r>
        <w:t>不良额环比</w:t>
      </w:r>
      <w:r>
        <w:t xml:space="preserve">{{ </w:t>
      </w:r>
      <w:r w:rsidR="00DB7C89">
        <w:t>branch_main</w:t>
      </w:r>
      <w:r>
        <w:t>.bad_mom }}</w:t>
      </w:r>
      <w:r>
        <w:t>、同比</w:t>
      </w:r>
      <w:r>
        <w:t xml:space="preserve">{{ </w:t>
      </w:r>
      <w:r w:rsidR="00DB7C89">
        <w:t>branch_main</w:t>
      </w:r>
      <w:r>
        <w:t>.bad_yoy }}</w:t>
      </w:r>
      <w:r>
        <w:t>数据，分析该支行风险状况，给出针对性建议</w:t>
      </w:r>
      <w:r>
        <w:t>"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DCB59D9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DCB59D9" w16cid:durableId="774B452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0909689">
    <w:abstractNumId w:val="8"/>
  </w:num>
  <w:num w:numId="2" w16cid:durableId="873689306">
    <w:abstractNumId w:val="6"/>
  </w:num>
  <w:num w:numId="3" w16cid:durableId="771165287">
    <w:abstractNumId w:val="5"/>
  </w:num>
  <w:num w:numId="4" w16cid:durableId="940648935">
    <w:abstractNumId w:val="4"/>
  </w:num>
  <w:num w:numId="5" w16cid:durableId="1272326318">
    <w:abstractNumId w:val="7"/>
  </w:num>
  <w:num w:numId="6" w16cid:durableId="722556475">
    <w:abstractNumId w:val="3"/>
  </w:num>
  <w:num w:numId="7" w16cid:durableId="106892994">
    <w:abstractNumId w:val="2"/>
  </w:num>
  <w:num w:numId="8" w16cid:durableId="359817076">
    <w:abstractNumId w:val="1"/>
  </w:num>
  <w:num w:numId="9" w16cid:durableId="1869634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656"/>
    <w:rsid w:val="00034616"/>
    <w:rsid w:val="0006063C"/>
    <w:rsid w:val="0015074B"/>
    <w:rsid w:val="001B1F86"/>
    <w:rsid w:val="002927B3"/>
    <w:rsid w:val="0029639D"/>
    <w:rsid w:val="00326F90"/>
    <w:rsid w:val="006B0844"/>
    <w:rsid w:val="00AA1D8D"/>
    <w:rsid w:val="00B47730"/>
    <w:rsid w:val="00CB0664"/>
    <w:rsid w:val="00DB7C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F7870D"/>
  <w14:defaultImageDpi w14:val="300"/>
  <w15:docId w15:val="{42B488F6-544F-4E19-ABFE-5C8010467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annotation text"/>
    <w:basedOn w:val="a1"/>
    <w:link w:val="affa"/>
    <w:uiPriority w:val="99"/>
    <w:semiHidden/>
    <w:unhideWhenUsed/>
  </w:style>
  <w:style w:type="character" w:customStyle="1" w:styleId="affa">
    <w:name w:val="批注文字 字符"/>
    <w:basedOn w:val="a2"/>
    <w:link w:val="aff9"/>
    <w:uiPriority w:val="99"/>
    <w:semiHidden/>
    <w:rPr>
      <w:rFonts w:ascii="宋体" w:hAnsi="宋体"/>
    </w:rPr>
  </w:style>
  <w:style w:type="character" w:styleId="affb">
    <w:name w:val="annotation reference"/>
    <w:basedOn w:val="a2"/>
    <w:uiPriority w:val="99"/>
    <w:semiHidden/>
    <w:unhideWhenUsed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130</Words>
  <Characters>352</Characters>
  <Application>Microsoft Office Word</Application>
  <DocSecurity>0</DocSecurity>
  <Lines>16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韩俊 汤</cp:lastModifiedBy>
  <cp:revision>3</cp:revision>
  <dcterms:created xsi:type="dcterms:W3CDTF">2013-12-23T23:15:00Z</dcterms:created>
  <dcterms:modified xsi:type="dcterms:W3CDTF">2026-06-14T04:47:00Z</dcterms:modified>
  <cp:category/>
  <dc:identifier/>
  <dc:language/>
</cp:coreProperties>
</file>