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DD18C" w14:textId="77777777" w:rsidR="002927B3" w:rsidRDefault="00000000">
      <w:pPr>
        <w:pStyle w:val="1"/>
      </w:pPr>
      <w:r>
        <w:t>普惠支行报告</w:t>
      </w:r>
    </w:p>
    <w:p w14:paraId="1C8CD9AE" w14:textId="340050D4" w:rsidR="002927B3" w:rsidRDefault="00000000">
      <w:pPr>
        <w:rPr>
          <w:rFonts w:hint="eastAsia"/>
        </w:rPr>
      </w:pPr>
      <w:r>
        <w:t xml:space="preserve">支行：</w:t>
      </w:r>
      <w:r>
        <w:t xml:space="preserve">B支行</w:t>
      </w:r>
      <w:r>
        <w:t xml:space="preserve">，报告期：</w:t>
      </w:r>
      <w:r>
        <w:t xml:space="preserve">2026-03-31 00:00:00</w:t>
      </w:r>
    </w:p>
    <w:p w14:paraId="62879863" w14:textId="77777777" w:rsidR="002927B3" w:rsidRDefault="00000000">
      <w:pPr>
        <w:rPr>
          <w:rFonts w:hint="eastAsia"/>
        </w:rPr>
      </w:pPr>
      <w:r>
        <w:t xml:space="preserve">普惠贷款余额为</w:t>
      </w:r>
      <w:r>
        <w:t xml:space="preserve"> 980 </w:t>
      </w:r>
      <w:r>
        <w:t xml:space="preserve">万元；房产评估金额</w:t>
      </w:r>
      <w:r>
        <w:t xml:space="preserve"> 1200 </w:t>
      </w:r>
      <w:r>
        <w:t>万元。</w:t>
      </w:r>
    </w:p>
    <w:p w14:paraId="06EE064E" w14:textId="77777777" w:rsidR="002927B3" w:rsidRDefault="00000000">
      <w:pPr>
        <w:rPr>
          <w:rFonts w:hint="eastAsia"/>
        </w:rPr>
      </w:pPr>
      <w:r>
        <w:t>清偿能力判断：</w:t>
      </w:r>
      <w:r>
        <w:t xml:space="preserve"/>
      </w:r>
      <w:r>
        <w:t>可清偿</w:t>
      </w:r>
      <w:r>
        <w:t xml:space="preserve"/>
      </w:r>
      <w:r>
        <w:t>。</w:t>
      </w:r>
    </w:p>
    <w:p w14:paraId="747486DF" w14:textId="77777777" w:rsidR="002927B3" w:rsidRDefault="00000000">
      <w:pPr>
        <w:rPr>
          <w:rFonts w:hint="eastAsia"/>
        </w:rPr>
      </w:pPr>
      <w:r>
        <w:t>各产品不良情况：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927B3" w14:paraId="3B48D70F" w14:textId="77777777">
        <w:tc>
          <w:tcPr>
            <w:tcW w:w="4320" w:type="dxa"/>
          </w:tcPr>
          <w:p w14:paraId="3566FD1E" w14:textId="77777777" w:rsidR="002927B3" w:rsidRDefault="00000000">
            <w:pPr>
              <w:rPr>
                <w:rFonts w:hint="eastAsia"/>
              </w:rPr>
            </w:pPr>
            <w:r>
              <w:t>产品名称</w:t>
            </w:r>
          </w:p>
        </w:tc>
        <w:tc>
          <w:tcPr>
            <w:tcW w:w="4320" w:type="dxa"/>
          </w:tcPr>
          <w:p w14:paraId="4B093526" w14:textId="77777777" w:rsidR="002927B3" w:rsidRDefault="00000000">
            <w:pPr>
              <w:rPr>
                <w:rFonts w:hint="eastAsia"/>
              </w:rPr>
            </w:pPr>
            <w:r>
              <w:t>不良率</w:t>
            </w:r>
            <w:r>
              <w:t>(%)</w:t>
            </w:r>
          </w:p>
        </w:tc>
      </w:tr>
      <w:tr w:rsidR="002927B3" w14:paraId="3E3269D4" w14:textId="77777777">
        <w:tc>
          <w:tcPr>
            <w:tcW w:w="4320" w:type="dxa"/>
          </w:tcPr>
          <w:p w14:paraId="498EB4B2" w14:textId="77777777" w:rsidR="002927B3" w:rsidRDefault="00000000">
            <w:pPr>
              <w:rPr>
                <w:rFonts w:hint="eastAsia"/>
              </w:rPr>
            </w:pPr>
            <w:r>
              <w:t xml:space="preserve">个人e抵押</w:t>
            </w:r>
          </w:p>
        </w:tc>
        <w:tc>
          <w:tcPr>
            <w:tcW w:w="4320" w:type="dxa"/>
          </w:tcPr>
          <w:p w14:paraId="02B6E9C2" w14:textId="77777777" w:rsidR="002927B3" w:rsidRDefault="00000000">
            <w:pPr>
              <w:rPr>
                <w:rFonts w:hint="eastAsia"/>
              </w:rPr>
            </w:pPr>
            <w:r>
              <w:t xml:space="preserve">2.5</w:t>
            </w:r>
          </w:p>
        </w:tc>
      </w:tr>
      <w:tr w:rsidR="002927B3" w14:paraId="3E3269D4" w14:textId="77777777">
        <w:tc>
          <w:tcPr>
            <w:tcW w:w="4320" w:type="dxa"/>
          </w:tcPr>
          <w:p w14:paraId="498EB4B2" w14:textId="77777777" w:rsidR="002927B3" w:rsidRDefault="00000000">
            <w:pPr>
              <w:rPr>
                <w:rFonts w:hint="eastAsia"/>
              </w:rPr>
            </w:pPr>
            <w:r>
              <w:t xml:space="preserve">法人e抵</w:t>
            </w:r>
          </w:p>
        </w:tc>
        <w:tc>
          <w:tcPr>
            <w:tcW w:w="4320" w:type="dxa"/>
          </w:tcPr>
          <w:p w14:paraId="02B6E9C2" w14:textId="77777777" w:rsidR="002927B3" w:rsidRDefault="00000000">
            <w:pPr>
              <w:rPr>
                <w:rFonts w:hint="eastAsia"/>
              </w:rPr>
            </w:pPr>
            <w:r>
              <w:t xml:space="preserve">2.3</w:t>
            </w:r>
          </w:p>
        </w:tc>
      </w:tr>
    </w:tbl>
    <w:p w14:paraId="440A29CD" w14:textId="77777777" w:rsidR="002927B3" w:rsidRDefault="00000000">
      <w:pPr>
        <w:rPr>
          <w:rFonts w:hint="eastAsia"/>
          <w:lang w:eastAsia="zh-CN"/>
        </w:rPr>
      </w:pPr>
      <w:r>
        <w:rPr>
          <w:lang w:eastAsia="zh-CN"/>
        </w:rPr>
        <w:t>风险分析（以下段落将由</w:t>
      </w:r>
      <w:r>
        <w:rPr>
          <w:lang w:eastAsia="zh-CN"/>
        </w:rPr>
        <w:t xml:space="preserve"> AI </w:t>
      </w:r>
      <w:r>
        <w:rPr>
          <w:lang w:eastAsia="zh-CN"/>
        </w:rPr>
        <w:t>改写）：</w:t>
      </w:r>
    </w:p>
    <w:p w14:paraId="54F26B8C" w14:textId="410F7CAC" w:rsidR="002927B3" w:rsidRDefault="00000000">
      <w:pPr>
        <w:rPr>
          <w:rFonts w:hint="eastAsia"/>
        </w:rPr>
      </w:pPr>
      <w:r>
        <w:t>根据知识库（`puhui_daikou_buliang`）及提供的风险数据（不良额环比-0.03、同比+0.1），对该支行风险状况分析及建议如下：</w:t>
        <w:br/>
        <w:t/>
        <w:br/>
        <w:t>---</w:t>
        <w:br/>
        <w:t/>
        <w:br/>
        <w:t>### 一、风险状况分析</w:t>
        <w:br/>
        <w:t/>
        <w:br/>
        <w:t xml:space="preserve">1. **环比改善，短期风险可控**  </w:t>
        <w:br/>
        <w:t xml:space="preserve">   不良额环比下降3%（-0.03），表明近期风险暴露有所收敛，存量不良化解或新增不良控制取得一定成效，短期资产质量压力边际缓解。</w:t>
        <w:br/>
        <w:t/>
        <w:br/>
        <w:t xml:space="preserve">2. **同比上升，长期风险需警惕**  </w:t>
        <w:br/>
        <w:t xml:space="preserve">   不良额同比上升10%（+0.1），反映过去一年内不良贷款规模呈扩大趋势。结合知识库中“普惠贷款不良率受经济周期、客户经营脆弱性影响较大”的提示，该支行可能面临以下风险：</w:t>
        <w:br/>
        <w:t xml:space="preserve">   - **存量客户经营恶化**：部分小微企业或个体工商户受宏观经济波动、行业调整影响，还款能力下降。</w:t>
        <w:br/>
        <w:t xml:space="preserve">   - **新增贷款质量下滑**：信贷投放标准或贷后管理可能存在薄弱环节，导致新发放贷款不良率偏高。</w:t>
        <w:br/>
        <w:t xml:space="preserve">   - **区域或行业集中度风险**：若支行贷款集中于特定行业（如批发零售、制造业等），行业下行可能加剧不良生成。</w:t>
        <w:br/>
        <w:t/>
        <w:br/>
        <w:t xml:space="preserve">3. **风险传导路径**  </w:t>
        <w:br/>
        <w:t xml:space="preserve">   同比上升但环比下降，可能意味着：</w:t>
        <w:br/>
        <w:t xml:space="preserve">   - 存量不良处置加速（如核销、清收）带动环比改善，但新增不良仍在持续生成，导致同比基数效应下仍显上升。</w:t>
        <w:br/>
        <w:t xml:space="preserve">   - 需关注不良贷款“边清边冒”现象，即化解速度未能完全覆盖新增风险。</w:t>
        <w:br/>
        <w:t/>
        <w:br/>
        <w:t>---</w:t>
        <w:br/>
        <w:t/>
        <w:br/>
        <w:t>### 二、针对性建议</w:t>
        <w:br/>
        <w:t/>
        <w:br/>
        <w:t>#### （一）强化存量风险化解</w:t>
        <w:br/>
        <w:t>- **分类施策**：对现有不良贷款按成因（经营困难、担保代偿、恶意逃废债等）分类，制定差异化清收方案。对短期经营困难但前景尚可的客户，可采取展期、重组等方式缓释风险。</w:t>
        <w:br/>
        <w:t>- **加大核销与转让**：对确无回收可能的不良贷款，加快核销或打包转让，降低不良率基数，改善环比指标。</w:t>
        <w:br/>
        <w:t/>
        <w:br/>
        <w:t>#### （二）严控新增风险</w:t>
        <w:br/>
        <w:t>- **优化信贷准入**：结合知识库中“普惠贷款需关注客户经营流水、纳税记录、行业景气度”等要点，提高首贷户及高风险行业客户的准入门槛，强化实地调查与交叉验证。</w:t>
        <w:br/>
        <w:t>- **加强贷后管理**：对存量正常贷款实施动态监测，重点关注同比上升期间发放的贷款，对出现预警信号（如账户流水下降、征信查询频繁）的客户及时采取压缩额度、追加担保等措施。</w:t>
        <w:br/>
        <w:t/>
        <w:br/>
        <w:t>#### （三）完善风险预警与考核机制</w:t>
        <w:br/>
        <w:t>- **建立同比/环比双维度预警**：将同比上升幅度纳入支行风险考核指标，避免因环比改善而忽视长期趋势。设定同比不良额增速红线（如不超过5%），超限时启动专项排查。</w:t>
        <w:br/>
        <w:t>- **落实责任追究**：对同比上升期间审批的贷款进行回溯，若发现贷前调查不实、贷后管理缺失等问题，追究相关责任人。</w:t>
        <w:br/>
        <w:t/>
        <w:br/>
        <w:t>#### （四）争取上级行支持</w:t>
        <w:br/>
        <w:t>- **申请风险缓释资源**：向上级行申请专项核销额度、不良资产转让通道或风险补偿基金，加速存量出清。</w:t>
        <w:br/>
        <w:t>- **寻求业务指导**：邀请上级行风险部门对支行信贷流程进行诊断，优化风险识别模型，提升普惠贷款全流程风控能力。</w:t>
        <w:br/>
        <w:t/>
        <w:br/>
        <w:t>---</w:t>
        <w:br/>
        <w:t/>
        <w:br/>
        <w:t>### 三、总结</w:t>
        <w:br/>
        <w:t/>
        <w:br/>
        <w:t>该支行短期风险可控，但长期风险呈上升趋势，需警惕“环比改善掩盖同比恶化”的假象。建议以“存量化解+新增严控”双轮驱动，同时强化同比指标考核，防止风险持续积累。若同比增速在下一季度未出现拐点，需启动全面风险排查并调整信贷策略。</w:t>
      </w:r>
    </w:p>
    <w:sectPr w:rsidR="002927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I" w:date="2026-03-28T05:41:00Z" w:initials="AI">
    <w:p w14:paraId="7DCB59D9" w14:textId="6F86F5B5" w:rsidR="002927B3" w:rsidRDefault="00000000">
      <w:pPr>
        <w:rPr>
          <w:rFonts w:hint="eastAsia"/>
        </w:rPr>
      </w:pPr>
      <w:r>
        <w:annotationRef/>
      </w:r>
      <w:r>
        <w:t>prompt="</w:t>
      </w:r>
      <w:r>
        <w:t>基于</w:t>
      </w:r>
      <w:r w:rsidR="00006656" w:rsidRPr="00006656">
        <w:t>{kb:puhui_daikou_buliang}</w:t>
      </w:r>
      <w:r w:rsidR="00006656" w:rsidRPr="00006656">
        <w:t>知</w:t>
      </w:r>
      <w:r w:rsidR="00006656" w:rsidRPr="00006656">
        <w:rPr>
          <w:rFonts w:ascii="微软雅黑" w:eastAsia="微软雅黑" w:hAnsi="微软雅黑" w:cs="微软雅黑" w:hint="eastAsia"/>
        </w:rPr>
        <w:t>识库</w:t>
      </w:r>
      <w:r w:rsidR="00006656">
        <w:rPr>
          <w:rFonts w:ascii="微软雅黑" w:eastAsia="微软雅黑" w:hAnsi="微软雅黑" w:cs="微软雅黑" w:hint="eastAsia"/>
          <w:lang w:eastAsia="zh-CN"/>
        </w:rPr>
        <w:t>，以及</w:t>
      </w:r>
      <w:r>
        <w:t>不良额环比</w:t>
      </w:r>
      <w:r>
        <w:t xml:space="preserve">{{ </w:t>
      </w:r>
      <w:r w:rsidR="00DB7C89">
        <w:t>branch_main</w:t>
      </w:r>
      <w:r>
        <w:t>.bad_mom }}</w:t>
      </w:r>
      <w:r>
        <w:t>、同比</w:t>
      </w:r>
      <w:r>
        <w:t xml:space="preserve">{{ </w:t>
      </w:r>
      <w:r w:rsidR="00DB7C89">
        <w:t>branch_main</w:t>
      </w:r>
      <w:r>
        <w:t>.bad_yoy }}</w:t>
      </w:r>
      <w:r>
        <w:t>数据，分析该支行风险状况，给出针对性建议</w:t>
      </w:r>
      <w:r>
        <w:t>"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DCB59D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DCB59D9" w16cid:durableId="774B452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0909689">
    <w:abstractNumId w:val="8"/>
  </w:num>
  <w:num w:numId="2" w16cid:durableId="873689306">
    <w:abstractNumId w:val="6"/>
  </w:num>
  <w:num w:numId="3" w16cid:durableId="771165287">
    <w:abstractNumId w:val="5"/>
  </w:num>
  <w:num w:numId="4" w16cid:durableId="940648935">
    <w:abstractNumId w:val="4"/>
  </w:num>
  <w:num w:numId="5" w16cid:durableId="1272326318">
    <w:abstractNumId w:val="7"/>
  </w:num>
  <w:num w:numId="6" w16cid:durableId="722556475">
    <w:abstractNumId w:val="3"/>
  </w:num>
  <w:num w:numId="7" w16cid:durableId="106892994">
    <w:abstractNumId w:val="2"/>
  </w:num>
  <w:num w:numId="8" w16cid:durableId="359817076">
    <w:abstractNumId w:val="1"/>
  </w:num>
  <w:num w:numId="9" w16cid:durableId="1869634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656"/>
    <w:rsid w:val="00034616"/>
    <w:rsid w:val="0006063C"/>
    <w:rsid w:val="0015074B"/>
    <w:rsid w:val="001B1F86"/>
    <w:rsid w:val="002927B3"/>
    <w:rsid w:val="0029639D"/>
    <w:rsid w:val="00326F90"/>
    <w:rsid w:val="006B0844"/>
    <w:rsid w:val="00AA1D8D"/>
    <w:rsid w:val="00B47730"/>
    <w:rsid w:val="00CB0664"/>
    <w:rsid w:val="00DB7C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F7870D"/>
  <w14:defaultImageDpi w14:val="300"/>
  <w15:docId w15:val="{42B488F6-544F-4E19-ABFE-5C8010467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annotation text"/>
    <w:basedOn w:val="a1"/>
    <w:link w:val="affa"/>
    <w:uiPriority w:val="99"/>
    <w:semiHidden/>
    <w:unhideWhenUsed/>
  </w:style>
  <w:style w:type="character" w:customStyle="1" w:styleId="affa">
    <w:name w:val="批注文字 字符"/>
    <w:basedOn w:val="a2"/>
    <w:link w:val="aff9"/>
    <w:uiPriority w:val="99"/>
    <w:semiHidden/>
    <w:rPr>
      <w:rFonts w:ascii="宋体" w:hAnsi="宋体"/>
    </w:rPr>
  </w:style>
  <w:style w:type="character" w:styleId="affb">
    <w:name w:val="annotation reference"/>
    <w:basedOn w:val="a2"/>
    <w:uiPriority w:val="99"/>
    <w:semiHidden/>
    <w:unhideWhenUsed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130</Words>
  <Characters>352</Characters>
  <Application>Microsoft Office Word</Application>
  <DocSecurity>0</DocSecurity>
  <Lines>16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韩俊 汤</cp:lastModifiedBy>
  <cp:revision>3</cp:revision>
  <dcterms:created xsi:type="dcterms:W3CDTF">2013-12-23T23:15:00Z</dcterms:created>
  <dcterms:modified xsi:type="dcterms:W3CDTF">2026-06-14T04:47:00Z</dcterms:modified>
  <cp:category/>
  <dc:identifier/>
  <dc:language/>
</cp:coreProperties>
</file>