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及不良额环比上升0.12、同比上升0.35的数据，该支行当前面临的不良贷款风险呈现明显上升趋势。环比与同比的双重增长表明，近期资产质量压力正在加速积累，可能反映出部分存量客户还款能力出现恶化，或新增贷款投放中风险控制环节存在疏漏。由于缺乏更细化的行业或客户分层数据，不良额上升的具体成因尚需进一步核实，但整体风险敞口扩大已是不争事实，需引起管理层高度重视。</w:t>
        <w:br/>
        <w:t/>
        <w:br/>
        <w:t>针对上述风险状况，建议该支行立即启动不良贷款专项排查，重点梳理环比与同比增幅较大的客户群体，分析其行业分布、担保方式及历史还款记录，以识别风险集中领域。同时，应强化贷后管理频率，对潜在风险客户提前制定催收或重组预案，避免不良额进一步攀升。此外，建议审慎控制新增贷款投放节奏，适当提高授信审批门槛，并加强客户现金流与经营状况的动态监测，从源头遏制不良生成。若数据允许，可考虑引入外部征信或行业风险预警工具，提升风险识别的前瞻性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