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知识库信息及不良贷款数据，该支行不良贷款额环比下降0.03，但同比上升0.1，显示短期风险有所缓解，但长期压力仍在累积。环比改善可能得益于近期催收或核销措施，但同比上升表明资产质量基础尚未稳固，潜在风险点可能集中在部分行业或客户群体中，需进一步核实具体成因。</w:t>
        <w:br/>
        <w:t/>
        <w:br/>
        <w:t>建议该支行加强存量贷款的风险排查，重点关注同比上升期间新增的不良贷款客户特征，并优化贷后管理流程。同时，应结合环比改善的经验，总结有效处置手段，并提前制定针对潜在风险客户的预警与化解预案，以巩固短期成果并遏制长期恶化趋势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