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rt1v6qu5rj6" w:id="0"/>
      <w:bookmarkEnd w:id="0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SC per country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citizen ID number: IDN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number: CN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lu7k87sk2p3" w:id="1"/>
      <w:bookmarkEnd w:id="1"/>
      <w:r w:rsidDel="00000000" w:rsidR="00000000" w:rsidRPr="00000000">
        <w:rPr>
          <w:rtl w:val="0"/>
        </w:rPr>
        <w:t xml:space="preserve">ID and Addresses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addresses will be hashes of IDN’s and CNs.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wallet {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string IDN/CN;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address hashOfIDN;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uint balance;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bool valid; (true: valid, false: invalid)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mapping citizensWallets: hashOfIDN (uint, I think) =&gt; wallet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mapping companiesWallets: hashOfIDN (uint, I think) =&gt; wallet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k6m0iefhmmt" w:id="2"/>
      <w:bookmarkEnd w:id="2"/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verifyIDCitizen</w:t>
        <w:br w:type="textWrapping"/>
      </w: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verifyCompanyNumber</w:t>
        <w:br w:type="textWrapping"/>
      </w: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creationOfCitizenWallet</w:t>
        <w:br w:type="textWrapping"/>
      </w: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create a wallet and add it to citizensWallets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creationOfCompanyWallet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wallet and add it to companiesWallets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validationOfCitizensWallets</w:t>
        <w:br w:type="textWrapping"/>
      </w: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 of wallets to validate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invalidationOfCitizensWallets</w:t>
        <w:br w:type="textWrapping"/>
      </w: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 of wallets to invalidate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validationOfCompaniesWallets</w:t>
        <w:br w:type="textWrapping"/>
      </w: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 of wallets to validate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invalidationOfCompaniesWallets</w:t>
        <w:br w:type="textWrapping"/>
      </w: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 of wallets to invalidate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transferFromCitizenToCompany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Allow transfer of toenailed from individual account to company account 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 company address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Amount to pay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Checks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@ a company address ?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Does Tx. Init a individual @ ?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Does Tx. Init have enough fund 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sendRedeem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Commercial @ can call this function to mark X token they have as redeemed . One way function ?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sendFundsAsTax</w:t>
        <w:br w:type="textWrapping"/>
      </w: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burnFunds</w:t>
        <w:br w:type="textWrapping"/>
      </w: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Since we want to incentivize people to spent the money they received and not hoard it. By calling this function, we will burn % of unspent token for each individual @</w:t>
        <w:br w:type="textWrapping"/>
      </w:r>
      <w:r w:rsidDel="00000000" w:rsidR="00000000" w:rsidRPr="00000000">
        <w:rPr>
          <w:u w:val="single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wekj66mxo9kr" w:id="3"/>
      <w:bookmarkEnd w:id="3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ISSUER - can create addresses and fund them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BURNER - can call the burnFunds function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CITIZEN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