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D2D5FA" w14:textId="095908D4" w:rsidR="0086304A" w:rsidRDefault="00D3377E" w:rsidP="00D3377E">
      <w:pPr>
        <w:jc w:val="right"/>
        <w:rPr>
          <w:b/>
          <w:bCs/>
        </w:rPr>
      </w:pPr>
      <w:r>
        <w:rPr>
          <w:noProof/>
        </w:rPr>
        <w:drawing>
          <wp:inline distT="0" distB="0" distL="0" distR="0" wp14:anchorId="261A5323" wp14:editId="43D2FEE7">
            <wp:extent cx="882650" cy="740749"/>
            <wp:effectExtent l="0" t="0" r="0" b="2540"/>
            <wp:docPr id="576433083" name="Picture 1" descr="SRM Institute of Science and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RM Institute of Science and Technology - Wikipedi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93539" cy="749887"/>
                    </a:xfrm>
                    <a:prstGeom prst="rect">
                      <a:avLst/>
                    </a:prstGeom>
                    <a:noFill/>
                    <a:ln>
                      <a:noFill/>
                    </a:ln>
                  </pic:spPr>
                </pic:pic>
              </a:graphicData>
            </a:graphic>
          </wp:inline>
        </w:drawing>
      </w:r>
    </w:p>
    <w:p w14:paraId="4C9941F4" w14:textId="45713A35" w:rsidR="00554229" w:rsidRPr="0086304A" w:rsidRDefault="000124EA">
      <w:pPr>
        <w:rPr>
          <w:b/>
          <w:bCs/>
        </w:rPr>
      </w:pPr>
      <w:r>
        <w:rPr>
          <w:b/>
          <w:bCs/>
        </w:rPr>
        <w:t xml:space="preserve">Literature survey – FinMesh: privacy-preserving cross-bank financial-crime detection (what banks should share, and what each shared piece costs in privacy)</w:t>
      </w:r>
    </w:p>
    <w:p/>
    <w:tbl>
      <w:tblPr>
        <w:tblStyle w:val="TableGrid"/>
        <w:tblW w:w="14571" w:type="dxa"/>
        <w:tblLook w:val="04A0" w:firstRow="1" w:lastRow="0" w:firstColumn="1" w:lastColumn="0" w:noHBand="0" w:noVBand="1"/>
      </w:tblPr>
      <w:tblGrid>
        <w:gridCol w:w="1031"/>
        <w:gridCol w:w="4994"/>
        <w:gridCol w:w="4902"/>
        <w:gridCol w:w="3644"/>
      </w:tblGrid>
      <w:tr w:rsidR="00B13087" w14:paraId="01CB2C71" w14:textId="77777777" w:rsidTr="00D3377E">
        <w:trPr>
          <w:trHeight w:val="1206"/>
          <w:tblHeader/>
        </w:trPr>
        <w:tc>
          <w:tcPr>
            <w:tcW w:w="1031" w:type="dxa"/>
          </w:tcPr>
          <w:p w14:paraId="54A75FA3" w14:textId="04075767" w:rsidR="000124EA" w:rsidRPr="000124EA" w:rsidRDefault="000124EA" w:rsidP="00D3377E">
            <w:pPr>
              <w:rPr>
                <w:b/>
                <w:bCs/>
              </w:rPr>
            </w:pPr>
            <w:r>
              <w:rPr>
                <w:b/>
                <w:bCs/>
              </w:rPr>
              <w:t>S. No</w:t>
            </w:r>
          </w:p>
        </w:tc>
        <w:tc>
          <w:tcPr>
            <w:tcW w:w="4994" w:type="dxa"/>
          </w:tcPr>
          <w:p w14:paraId="16E2091F" w14:textId="68D2763E" w:rsidR="000124EA" w:rsidRPr="000124EA" w:rsidRDefault="000124EA" w:rsidP="00D3377E">
            <w:pPr>
              <w:jc w:val="center"/>
              <w:rPr>
                <w:b/>
                <w:bCs/>
              </w:rPr>
            </w:pPr>
            <w:r>
              <w:rPr>
                <w:b/>
                <w:bCs/>
              </w:rPr>
              <w:t>Title</w:t>
            </w:r>
          </w:p>
          <w:p w14:paraId="340CDA64" w14:textId="5258C22F" w:rsidR="000124EA" w:rsidRPr="0086304A" w:rsidRDefault="000124EA" w:rsidP="00D3377E">
            <w:pPr>
              <w:jc w:val="center"/>
              <w:rPr>
                <w:i/>
                <w:iCs/>
              </w:rPr>
            </w:pPr>
            <w:r>
              <w:rPr>
                <w:i/>
                <w:iCs/>
                <w:sz w:val="20"/>
                <w:szCs w:val="20"/>
              </w:rPr>
              <w:t>(Name of the journal, author and publication details)</w:t>
            </w:r>
          </w:p>
        </w:tc>
        <w:tc>
          <w:tcPr>
            <w:tcW w:w="4902" w:type="dxa"/>
          </w:tcPr>
          <w:p w14:paraId="4CAF9533" w14:textId="34731948" w:rsidR="000124EA" w:rsidRPr="000124EA" w:rsidRDefault="000124EA" w:rsidP="00D3377E">
            <w:pPr>
              <w:jc w:val="center"/>
              <w:rPr>
                <w:b/>
                <w:bCs/>
              </w:rPr>
            </w:pPr>
            <w:r>
              <w:rPr>
                <w:b/>
                <w:bCs/>
              </w:rPr>
              <w:t>Methodology</w:t>
            </w:r>
          </w:p>
          <w:p w14:paraId="6C22F090" w14:textId="1B54DF35" w:rsidR="000124EA" w:rsidRPr="0086304A" w:rsidRDefault="000124EA" w:rsidP="00D3377E">
            <w:pPr>
              <w:jc w:val="center"/>
              <w:rPr>
                <w:i/>
                <w:iCs/>
              </w:rPr>
            </w:pPr>
            <w:r>
              <w:rPr>
                <w:i/>
                <w:iCs/>
                <w:sz w:val="20"/>
                <w:szCs w:val="20"/>
              </w:rPr>
              <w:t>(Provide a Summary of key studies and their findings)</w:t>
            </w:r>
          </w:p>
        </w:tc>
        <w:tc>
          <w:tcPr>
            <w:tcW w:w="3644" w:type="dxa"/>
          </w:tcPr>
          <w:p w14:paraId="38964B00" w14:textId="77777777" w:rsidR="000124EA" w:rsidRPr="000124EA" w:rsidRDefault="000124EA" w:rsidP="00D3377E">
            <w:pPr>
              <w:rPr>
                <w:b/>
                <w:bCs/>
              </w:rPr>
            </w:pPr>
            <w:r>
              <w:rPr>
                <w:b/>
                <w:bCs/>
              </w:rPr>
              <w:t>Identification of gaps and limitations.</w:t>
            </w:r>
          </w:p>
          <w:p w14:paraId="58CE6A27" w14:textId="5B18E4B6" w:rsidR="000124EA" w:rsidRPr="0086304A" w:rsidRDefault="000124EA" w:rsidP="00D3377E">
            <w:pPr>
              <w:jc w:val="center"/>
              <w:rPr>
                <w:i/>
                <w:iCs/>
              </w:rPr>
            </w:pPr>
            <w:r>
              <w:rPr>
                <w:i/>
                <w:iCs/>
                <w:sz w:val="20"/>
                <w:szCs w:val="20"/>
              </w:rPr>
              <w:t xml:space="preserve">(Identify the limitations of the Research Paper)</w:t>
            </w:r>
          </w:p>
        </w:tc>
      </w:tr>
      <w:tr>
        <w:tc>
          <w:tcPr>
            <w:tcW w:w="1031" w:type="dxa"/>
          </w:tcPr>
          <w:p>
            <w:r>
              <w:t xml:space="preserve">1</w:t>
            </w:r>
          </w:p>
        </w:tc>
        <w:tc>
          <w:tcPr>
            <w:tcW w:w="4994" w:type="dxa"/>
          </w:tcPr>
          <w:p>
            <w:r>
              <w:t xml:space="preserve">Chen, Z., Van Khoa, L.D., Teoh, E.N., Nazir, A., Karuppiah, E.K., Lam, K.S., 2018. Machine learning techniques for anti-money laundering (AML) solutions in suspicious transaction detection: a review. Knowledge and Information Systems 57 (2), 245–285.</w:t>
            </w:r>
          </w:p>
        </w:tc>
        <w:tc>
          <w:tcPr>
            <w:tcW w:w="4902" w:type="dxa"/>
          </w:tcPr>
          <w:p>
            <w:pPr>
              <w:pStyle w:val="ListParagraph"/>
              <w:numPr>
                <w:ilvl w:val="0"/>
                <w:numId w:val="1"/>
              </w:numPr>
            </w:pPr>
            <w:r>
              <w:t xml:space="preserve">Survey of machine-learning methods for detecting suspicious transactions</w:t>
            </w:r>
          </w:p>
          <w:p>
            <w:pPr>
              <w:pStyle w:val="ListParagraph"/>
              <w:numPr>
                <w:ilvl w:val="0"/>
                <w:numId w:val="1"/>
              </w:numPr>
            </w:pPr>
            <w:r>
              <w:t xml:space="preserve">Organises AML solutions into six areas: typologies, link analysis, behavioural modelling, risk scoring, anomaly detection and geographic capability</w:t>
            </w:r>
          </w:p>
          <w:p>
            <w:pPr>
              <w:pStyle w:val="ListParagraph"/>
              <w:numPr>
                <w:ilvl w:val="0"/>
                <w:numId w:val="1"/>
              </w:numPr>
            </w:pPr>
            <w:r>
              <w:t xml:space="preserve">Reviews data preparation, transformation and analytics, and compares the methods reported in the literature</w:t>
            </w:r>
          </w:p>
          <w:p>
            <w:pPr>
              <w:pStyle w:val="ListParagraph"/>
              <w:numPr>
                <w:ilvl w:val="0"/>
                <w:numId w:val="1"/>
              </w:numPr>
            </w:pPr>
            <w:r>
              <w:t xml:space="preserve">Identifies techniques that are missing or under-addressed as future directions</w:t>
            </w:r>
          </w:p>
        </w:tc>
        <w:tc>
          <w:tcPr>
            <w:tcW w:w="3644" w:type="dxa"/>
          </w:tcPr>
          <w:p>
            <w:pPr>
              <w:pStyle w:val="ListParagraph"/>
              <w:numPr>
                <w:ilvl w:val="0"/>
                <w:numId w:val="1"/>
              </w:numPr>
            </w:pPr>
            <w:r>
              <w:t xml:space="preserve">Considers one institution at a time; collaboration between banks is not covered</w:t>
            </w:r>
          </w:p>
          <w:p>
            <w:pPr>
              <w:pStyle w:val="ListParagraph"/>
              <w:numPr>
                <w:ilvl w:val="0"/>
                <w:numId w:val="1"/>
              </w:numPr>
            </w:pPr>
            <w:r>
              <w:t xml:space="preserve">No privacy dimension: what may be shared, and at what risk, is not discussed</w:t>
            </w:r>
          </w:p>
          <w:p>
            <w:pPr>
              <w:pStyle w:val="ListParagraph"/>
              <w:numPr>
                <w:ilvl w:val="0"/>
                <w:numId w:val="1"/>
              </w:numPr>
            </w:pPr>
            <w:r>
              <w:t xml:space="preserve">No common labelled benchmark, so the reviewed results cannot be compared directly</w:t>
            </w:r>
          </w:p>
          <w:p>
            <w:pPr>
              <w:pStyle w:val="ListParagraph"/>
              <w:numPr>
                <w:ilvl w:val="0"/>
                <w:numId w:val="1"/>
              </w:numPr>
            </w:pPr>
            <w:r>
              <w:t xml:space="preserve">Predates graph deep learning and federated learning for AML</w:t>
            </w:r>
          </w:p>
        </w:tc>
      </w:tr>
      <w:tr>
        <w:tc>
          <w:tcPr>
            <w:tcW w:w="1031" w:type="dxa"/>
          </w:tcPr>
          <w:p>
            <w:r>
              <w:t xml:space="preserve">2</w:t>
            </w:r>
          </w:p>
        </w:tc>
        <w:tc>
          <w:tcPr>
            <w:tcW w:w="4994" w:type="dxa"/>
          </w:tcPr>
          <w:p>
            <w:r>
              <w:t xml:space="preserve">Kute, D.V., Pradhan, B., Shukla, N., Alamri, A., 2021. Deep learning and explainable artificial intelligence techniques applied for detecting money laundering – a critical review. IEEE Access 9, 82300–82317.</w:t>
            </w:r>
          </w:p>
        </w:tc>
        <w:tc>
          <w:tcPr>
            <w:tcW w:w="4902" w:type="dxa"/>
          </w:tcPr>
          <w:p>
            <w:pPr>
              <w:pStyle w:val="ListParagraph"/>
              <w:numPr>
                <w:ilvl w:val="0"/>
                <w:numId w:val="1"/>
              </w:numPr>
            </w:pPr>
            <w:r>
              <w:t xml:space="preserve">Critical review of deep learning and explainable AI (XAI) for money-laundering detection</w:t>
            </w:r>
          </w:p>
          <w:p>
            <w:pPr>
              <w:pStyle w:val="ListParagraph"/>
              <w:numPr>
                <w:ilvl w:val="0"/>
                <w:numId w:val="1"/>
              </w:numPr>
            </w:pPr>
            <w:r>
              <w:t xml:space="preserve">Finds CNN variants and autoencoders most used; graph deep learning with NLP emerging</w:t>
            </w:r>
          </w:p>
          <w:p>
            <w:pPr>
              <w:pStyle w:val="ListParagraph"/>
              <w:numPr>
                <w:ilvl w:val="0"/>
                <w:numId w:val="1"/>
              </w:numPr>
            </w:pPr>
            <w:r>
              <w:t xml:space="preserve">About 51% of the machine-learning methods used in AML are non-interpretable, and about 58% of studies used samples of old real data</w:t>
            </w:r>
          </w:p>
          <w:p>
            <w:pPr>
              <w:pStyle w:val="ListParagraph"/>
              <w:numPr>
                <w:ilvl w:val="0"/>
                <w:numId w:val="1"/>
              </w:numPr>
            </w:pPr>
            <w:r>
              <w:t xml:space="preserve">Recommends XAI, graph learning, unsupervised learning for scarce labels, and academia–industry data partnerships</w:t>
            </w:r>
          </w:p>
        </w:tc>
        <w:tc>
          <w:tcPr>
            <w:tcW w:w="3644" w:type="dxa"/>
          </w:tcPr>
          <w:p>
            <w:pPr>
              <w:pStyle w:val="ListParagraph"/>
              <w:numPr>
                <w:ilvl w:val="0"/>
                <w:numId w:val="1"/>
              </w:numPr>
            </w:pPr>
            <w:r>
              <w:t xml:space="preserve">Scarce, outdated and highly imbalanced labelled data limit every study reviewed</w:t>
            </w:r>
          </w:p>
          <w:p>
            <w:pPr>
              <w:pStyle w:val="ListParagraph"/>
              <w:numPr>
                <w:ilvl w:val="0"/>
                <w:numId w:val="1"/>
              </w:numPr>
            </w:pPr>
            <w:r>
              <w:t xml:space="preserve">Explainability is recommended without considering that explanations can leak training data (see paper 20)</w:t>
            </w:r>
          </w:p>
          <w:p>
            <w:pPr>
              <w:pStyle w:val="ListParagraph"/>
              <w:numPr>
                <w:ilvl w:val="0"/>
                <w:numId w:val="1"/>
              </w:numPr>
            </w:pPr>
            <w:r>
              <w:t xml:space="preserve">Cross-institution detection and its privacy cost are outside the review's scope</w:t>
            </w:r>
          </w:p>
        </w:tc>
      </w:tr>
      <w:tr>
        <w:tc>
          <w:tcPr>
            <w:tcW w:w="1031" w:type="dxa"/>
          </w:tcPr>
          <w:p>
            <w:r>
              <w:t xml:space="preserve">3</w:t>
            </w:r>
          </w:p>
        </w:tc>
        <w:tc>
          <w:tcPr>
            <w:tcW w:w="4994" w:type="dxa"/>
          </w:tcPr>
          <w:p>
            <w:r>
              <w:t xml:space="preserve">Weber, M., Domeniconi, G., Chen, J., Weidele, D.K.I., Bellei, C., Robinson, T., Leiserson, C.E., 2019. Anti-money laundering in Bitcoin: experimenting with graph convolutional networks for financial forensics. KDD '19 Workshop on Anomaly Detection in Finance, Anchorage, AK, USA (arXiv:1908.02591).</w:t>
            </w:r>
          </w:p>
        </w:tc>
        <w:tc>
          <w:tcPr>
            <w:tcW w:w="4902" w:type="dxa"/>
          </w:tcPr>
          <w:p>
            <w:pPr>
              <w:pStyle w:val="ListParagraph"/>
              <w:numPr>
                <w:ilvl w:val="0"/>
                <w:numId w:val="1"/>
              </w:numPr>
            </w:pPr>
            <w:r>
              <w:t xml:space="preserve">Releases the Elliptic data set: about 204K Bitcoin transactions, 234K payment edges, 166 features; about 2% of labelled nodes illicit</w:t>
            </w:r>
          </w:p>
          <w:p>
            <w:pPr>
              <w:pStyle w:val="ListParagraph"/>
              <w:numPr>
                <w:ilvl w:val="0"/>
                <w:numId w:val="1"/>
              </w:numPr>
            </w:pPr>
            <w:r>
              <w:t xml:space="preserve">Compares logistic regression, random forest, MLP, GCN, Skip-GCN and EvolveGCN</w:t>
            </w:r>
          </w:p>
          <w:p>
            <w:pPr>
              <w:pStyle w:val="ListParagraph"/>
              <w:numPr>
                <w:ilvl w:val="0"/>
                <w:numId w:val="1"/>
              </w:numPr>
            </w:pPr>
            <w:r>
              <w:t xml:space="preserve">Best illicit-class F1 about 0.80: random forest with GCN embeddings (random forest alone 0.79, plain GCN 0.63)</w:t>
            </w:r>
          </w:p>
          <w:p>
            <w:pPr>
              <w:pStyle w:val="ListParagraph"/>
              <w:numPr>
                <w:ilvl w:val="0"/>
                <w:numId w:val="1"/>
              </w:numPr>
            </w:pPr>
            <w:r>
              <w:t xml:space="preserve">A dark-market shutdown mid-period degrades every model</w:t>
            </w:r>
          </w:p>
        </w:tc>
        <w:tc>
          <w:tcPr>
            <w:tcW w:w="3644" w:type="dxa"/>
          </w:tcPr>
          <w:p>
            <w:pPr>
              <w:pStyle w:val="ListParagraph"/>
              <w:numPr>
                <w:ilvl w:val="0"/>
                <w:numId w:val="1"/>
              </w:numPr>
            </w:pPr>
            <w:r>
              <w:t xml:space="preserve">One public ledger: there are no bank boundaries, so cross-institution visibility, the core problem for banks, never arises</w:t>
            </w:r>
          </w:p>
          <w:p>
            <w:pPr>
              <w:pStyle w:val="ListParagraph"/>
              <w:numPr>
                <w:ilvl w:val="0"/>
                <w:numId w:val="1"/>
              </w:numPr>
            </w:pPr>
            <w:r>
              <w:t xml:space="preserve">Anonymised features limit interpretation and transfer to bank data</w:t>
            </w:r>
          </w:p>
          <w:p>
            <w:pPr>
              <w:pStyle w:val="ListParagraph"/>
              <w:numPr>
                <w:ilvl w:val="0"/>
                <w:numId w:val="1"/>
              </w:numPr>
            </w:pPr>
            <w:r>
              <w:t xml:space="preserve">Models fail under temporal shift; no privacy analysis</w:t>
            </w:r>
          </w:p>
        </w:tc>
      </w:tr>
      <w:tr>
        <w:tc>
          <w:tcPr>
            <w:tcW w:w="1031" w:type="dxa"/>
          </w:tcPr>
          <w:p>
            <w:r>
              <w:t xml:space="preserve">4</w:t>
            </w:r>
          </w:p>
        </w:tc>
        <w:tc>
          <w:tcPr>
            <w:tcW w:w="4994" w:type="dxa"/>
          </w:tcPr>
          <w:p>
            <w:r>
              <w:t xml:space="preserve">Altman, E., Blanuša, J., von Niederhäusern, L., Egressy, B., Anghel, A., Atasu, K., 2023. Realistic synthetic financial transactions for anti-money laundering models. Advances in Neural Information Processing Systems 36 (Datasets and Benchmarks Track), 29851–29874.</w:t>
            </w:r>
          </w:p>
        </w:tc>
        <w:tc>
          <w:tcPr>
            <w:tcW w:w="4902" w:type="dxa"/>
          </w:tcPr>
          <w:p>
            <w:pPr>
              <w:pStyle w:val="ListParagraph"/>
              <w:numPr>
                <w:ilvl w:val="0"/>
                <w:numId w:val="1"/>
              </w:numPr>
            </w:pPr>
            <w:r>
              <w:t xml:space="preserve">Agent-based generator of banks, individuals and companies, calibrated to match real transaction statistics (the AMLworld data sets)</w:t>
            </w:r>
          </w:p>
          <w:p>
            <w:pPr>
              <w:pStyle w:val="ListParagraph"/>
              <w:numPr>
                <w:ilvl w:val="0"/>
                <w:numId w:val="1"/>
              </w:numPr>
            </w:pPr>
            <w:r>
              <w:t xml:space="preserve">Complete ground-truth labels through placement, layering and integration, with eight laundering patterns (fan-in/out, cycles, scatter-gather, stack, ...)</w:t>
            </w:r>
          </w:p>
          <w:p>
            <w:pPr>
              <w:pStyle w:val="ListParagraph"/>
              <w:numPr>
                <w:ilvl w:val="0"/>
                <w:numId w:val="1"/>
              </w:numPr>
            </w:pPr>
            <w:r>
              <w:t xml:space="preserve">HI and LI variants in Small, Medium and Large sizes (Large about 175–180M transactions)</w:t>
            </w:r>
          </w:p>
          <w:p>
            <w:pPr>
              <w:pStyle w:val="ListParagraph"/>
              <w:numPr>
                <w:ilvl w:val="0"/>
                <w:numId w:val="1"/>
              </w:numPr>
            </w:pPr>
            <w:r>
              <w:t xml:space="preserve">Benchmarks: GNNs beat MLPs (HI-Medium minority-class F1: MLP 28.2, GIN 38.5); LI data sets are harder</w:t>
            </w:r>
          </w:p>
        </w:tc>
        <w:tc>
          <w:tcPr>
            <w:tcW w:w="3644" w:type="dxa"/>
          </w:tcPr>
          <w:p>
            <w:pPr>
              <w:pStyle w:val="ListParagraph"/>
              <w:numPr>
                <w:ilvl w:val="0"/>
                <w:numId w:val="1"/>
              </w:numPr>
            </w:pPr>
            <w:r>
              <w:t xml:space="preserve">Synthetic: realism is approximate and simulator artefacts can inflate some features</w:t>
            </w:r>
          </w:p>
          <w:p>
            <w:pPr>
              <w:pStyle w:val="ListParagraph"/>
              <w:numPr>
                <w:ilvl w:val="0"/>
                <w:numId w:val="1"/>
              </w:numPr>
            </w:pPr>
            <w:r>
              <w:t xml:space="preserve">Benchmarks assume one global view of all banks' transactions, not each bank's partial view</w:t>
            </w:r>
          </w:p>
          <w:p>
            <w:pPr>
              <w:pStyle w:val="ListParagraph"/>
              <w:numPr>
                <w:ilvl w:val="0"/>
                <w:numId w:val="1"/>
              </w:numPr>
            </w:pPr>
            <w:r>
              <w:t xml:space="preserve">Transaction-level F1 at one threshold; no alert budgets or scheme-level metrics</w:t>
            </w:r>
          </w:p>
          <w:p>
            <w:pPr>
              <w:pStyle w:val="ListParagraph"/>
              <w:numPr>
                <w:ilvl w:val="0"/>
                <w:numId w:val="1"/>
              </w:numPr>
            </w:pPr>
            <w:r>
              <w:t xml:space="preserve">No privacy cost of the data pooling it shows to be useful</w:t>
            </w:r>
          </w:p>
        </w:tc>
      </w:tr>
      <w:tr>
        <w:tc>
          <w:tcPr>
            <w:tcW w:w="1031" w:type="dxa"/>
          </w:tcPr>
          <w:p>
            <w:r>
              <w:t xml:space="preserve">5</w:t>
            </w:r>
          </w:p>
        </w:tc>
        <w:tc>
          <w:tcPr>
            <w:tcW w:w="4994" w:type="dxa"/>
          </w:tcPr>
          <w:p>
            <w:r>
              <w:t xml:space="preserve">Egressy, B., von Niederhäusern, L., Blanuša, J., Altman, E., Wattenhofer, R., Atasu, K., 2024. Provably powerful graph neural networks for directed multigraphs. Proceedings of the AAAI Conference on Artificial Intelligence 38 (10), 11838–11846.</w:t>
            </w:r>
          </w:p>
        </w:tc>
        <w:tc>
          <w:tcPr>
            <w:tcW w:w="4902" w:type="dxa"/>
          </w:tcPr>
          <w:p>
            <w:pPr>
              <w:pStyle w:val="ListParagraph"/>
              <w:numPr>
                <w:ilvl w:val="0"/>
                <w:numId w:val="1"/>
              </w:numPr>
            </w:pPr>
            <w:r>
              <w:t xml:space="preserve">Adapts message-passing GNNs with reverse message passing, multigraph port numbering and ego IDs</w:t>
            </w:r>
          </w:p>
          <w:p>
            <w:pPr>
              <w:pStyle w:val="ListParagraph"/>
              <w:numPr>
                <w:ilvl w:val="0"/>
                <w:numId w:val="1"/>
              </w:numPr>
            </w:pPr>
            <w:r>
              <w:t xml:space="preserve">Proves the combination can detect any directed subgraph pattern</w:t>
            </w:r>
          </w:p>
          <w:p>
            <w:pPr>
              <w:pStyle w:val="ListParagraph"/>
              <w:numPr>
                <w:ilvl w:val="0"/>
                <w:numId w:val="1"/>
              </w:numPr>
            </w:pPr>
            <w:r>
              <w:t xml:space="preserve">Improves a standard GNN's minority-class F1 on AML data by up to 30%; about 15% on a real phishing data set</w:t>
            </w:r>
          </w:p>
        </w:tc>
        <w:tc>
          <w:tcPr>
            <w:tcW w:w="3644" w:type="dxa"/>
          </w:tcPr>
          <w:p>
            <w:pPr>
              <w:pStyle w:val="ListParagraph"/>
              <w:numPr>
                <w:ilvl w:val="0"/>
                <w:numId w:val="1"/>
              </w:numPr>
            </w:pPr>
            <w:r>
              <w:t xml:space="preserve">Needs the whole transaction graph in one place; a single bank sees only part of each laundering pattern</w:t>
            </w:r>
          </w:p>
          <w:p>
            <w:pPr>
              <w:pStyle w:val="ListParagraph"/>
              <w:numPr>
                <w:ilvl w:val="0"/>
                <w:numId w:val="1"/>
              </w:numPr>
            </w:pPr>
            <w:r>
              <w:t xml:space="preserve">No privacy analysis of training on pooled graph data</w:t>
            </w:r>
          </w:p>
          <w:p>
            <w:pPr>
              <w:pStyle w:val="ListParagraph"/>
              <w:numPr>
                <w:ilvl w:val="0"/>
                <w:numId w:val="1"/>
              </w:numPr>
            </w:pPr>
            <w:r>
              <w:t xml:space="preserve">GPU training cost; evaluated per transaction, not per laundering scheme</w:t>
            </w:r>
          </w:p>
        </w:tc>
      </w:tr>
      <w:tr>
        <w:tc>
          <w:tcPr>
            <w:tcW w:w="1031" w:type="dxa"/>
          </w:tcPr>
          <w:p>
            <w:r>
              <w:t xml:space="preserve">6</w:t>
            </w:r>
          </w:p>
        </w:tc>
        <w:tc>
          <w:tcPr>
            <w:tcW w:w="4994" w:type="dxa"/>
          </w:tcPr>
          <w:p>
            <w:r>
              <w:t xml:space="preserve">Blanuša, J., Cravero Baraja, M., Anghel, A., von Niederhäusern, L., Altman, E., Pozidis, H., Atasu, K., 2024. Graph Feature Preprocessor: real-time subgraph-based feature extraction for financial crime detection. Proceedings of the 5th ACM International Conference on AI in Finance (ICAIF '24), 222–230.</w:t>
            </w:r>
          </w:p>
        </w:tc>
        <w:tc>
          <w:tcPr>
            <w:tcW w:w="4902" w:type="dxa"/>
          </w:tcPr>
          <w:p>
            <w:pPr>
              <w:pStyle w:val="ListParagraph"/>
              <w:numPr>
                <w:ilvl w:val="0"/>
                <w:numId w:val="1"/>
              </w:numPr>
            </w:pPr>
            <w:r>
              <w:t xml:space="preserve">Library that mines laundering subgraph patterns (fans, cycles, scatter-gather) in a streaming, in-memory transaction graph and turns them into features</w:t>
            </w:r>
          </w:p>
          <w:p>
            <w:pPr>
              <w:pStyle w:val="ListParagraph"/>
              <w:numPr>
                <w:ilvl w:val="0"/>
                <w:numId w:val="1"/>
              </w:numPr>
            </w:pPr>
            <w:r>
              <w:t xml:space="preserve">Enriched features substantially improve gradient-boosting models</w:t>
            </w:r>
          </w:p>
          <w:p>
            <w:pPr>
              <w:pStyle w:val="ListParagraph"/>
              <w:numPr>
                <w:ilvl w:val="0"/>
                <w:numId w:val="1"/>
              </w:numPr>
            </w:pPr>
            <w:r>
              <w:t xml:space="preserve">Higher minority-class F1 than standard GNNs on AML and phishing data; CPU throughput above GNN baselines on a V100 GPU</w:t>
            </w:r>
          </w:p>
        </w:tc>
        <w:tc>
          <w:tcPr>
            <w:tcW w:w="3644" w:type="dxa"/>
          </w:tcPr>
          <w:p>
            <w:pPr>
              <w:pStyle w:val="ListParagraph"/>
              <w:numPr>
                <w:ilvl w:val="0"/>
                <w:numId w:val="1"/>
              </w:numPr>
            </w:pPr>
            <w:r>
              <w:t xml:space="preserve">Assumes one central graph; no protocol for banks that each hold a part of it</w:t>
            </w:r>
          </w:p>
          <w:p>
            <w:pPr>
              <w:pStyle w:val="ListParagraph"/>
              <w:numPr>
                <w:ilvl w:val="0"/>
                <w:numId w:val="1"/>
              </w:numPr>
            </w:pPr>
            <w:r>
              <w:t xml:space="preserve">Graph features mix many accounts' data, so one account influences its neighbours' features; the privacy consequence is not studied</w:t>
            </w:r>
          </w:p>
        </w:tc>
      </w:tr>
      <w:tr>
        <w:tc>
          <w:tcPr>
            <w:tcW w:w="1031" w:type="dxa"/>
          </w:tcPr>
          <w:p>
            <w:r>
              <w:t xml:space="preserve">7</w:t>
            </w:r>
          </w:p>
        </w:tc>
        <w:tc>
          <w:tcPr>
            <w:tcW w:w="4994" w:type="dxa"/>
          </w:tcPr>
          <w:p>
            <w:r>
              <w:t xml:space="preserve">Suzumura, T., Zhou, Y., Baracaldo, N., et al., 2019. Towards federated graph learning for collaborative financial crimes detection. arXiv preprint arXiv:1909.12946 (IBM Research).</w:t>
            </w:r>
          </w:p>
        </w:tc>
        <w:tc>
          <w:tcPr>
            <w:tcW w:w="4902" w:type="dxa"/>
          </w:tcPr>
          <w:p>
            <w:pPr>
              <w:pStyle w:val="ListParagraph"/>
              <w:numPr>
                <w:ilvl w:val="0"/>
                <w:numId w:val="1"/>
              </w:numPr>
            </w:pPr>
            <w:r>
              <w:t xml:space="preserve">Federated graph-learning platform: local features, global graph features across institutions, then federated learning through an aggregator such as a financial intelligence unit</w:t>
            </w:r>
          </w:p>
          <w:p>
            <w:pPr>
              <w:pStyle w:val="ListParagraph"/>
              <w:numPr>
                <w:ilvl w:val="0"/>
                <w:numId w:val="1"/>
              </w:numPr>
            </w:pPr>
            <w:r>
              <w:t xml:space="preserve">Simulated FCA TechSprint data from six UK institutions; majority class undersampled</w:t>
            </w:r>
          </w:p>
          <w:p>
            <w:pPr>
              <w:pStyle w:val="ListParagraph"/>
              <w:numPr>
                <w:ilvl w:val="0"/>
                <w:numId w:val="1"/>
              </w:numPr>
            </w:pPr>
            <w:r>
              <w:t xml:space="preserve">Federated model F1 0.769, matching the best local model with graph features; reported as 20% better than local models</w:t>
            </w:r>
          </w:p>
        </w:tc>
        <w:tc>
          <w:tcPr>
            <w:tcW w:w="3644" w:type="dxa"/>
          </w:tcPr>
          <w:p>
            <w:pPr>
              <w:pStyle w:val="ListParagraph"/>
              <w:numPr>
                <w:ilvl w:val="0"/>
                <w:numId w:val="1"/>
              </w:numPr>
            </w:pPr>
            <w:r>
              <w:t xml:space="preserve">No formal privacy: DP and MPC are proposed but not evaluated, and no leakage attack</w:t>
            </w:r>
          </w:p>
          <w:p>
            <w:pPr>
              <w:pStyle w:val="ListParagraph"/>
              <w:numPr>
                <w:ilvl w:val="0"/>
                <w:numId w:val="1"/>
              </w:numPr>
            </w:pPr>
            <w:r>
              <w:t xml:space="preserve">Secure cross-institution graph computation and entity resolution left as future work</w:t>
            </w:r>
          </w:p>
          <w:p>
            <w:pPr>
              <w:pStyle w:val="ListParagraph"/>
              <w:numPr>
                <w:ilvl w:val="0"/>
                <w:numId w:val="1"/>
              </w:numPr>
            </w:pPr>
            <w:r>
              <w:t xml:space="preserve">Small simulated data; the 20% gain is not clearly derived from the reported tables</w:t>
            </w:r>
          </w:p>
        </w:tc>
      </w:tr>
      <w:tr>
        <w:tc>
          <w:tcPr>
            <w:tcW w:w="1031" w:type="dxa"/>
          </w:tcPr>
          <w:p>
            <w:r>
              <w:t xml:space="preserve">8</w:t>
            </w:r>
          </w:p>
        </w:tc>
        <w:tc>
          <w:tcPr>
            <w:tcW w:w="4994" w:type="dxa"/>
          </w:tcPr>
          <w:p>
            <w:r>
              <w:t xml:space="preserve">Tian, Z., Ding, Y., Yu, X., Gong, E., Liu, J., Ren, K., 2025. Towards collaborative anti-money laundering among financial institutions. Proceedings of the ACM Web Conference 2025 (WWW '25), Sydney, Australia, ACM.</w:t>
            </w:r>
          </w:p>
        </w:tc>
        <w:tc>
          <w:tcPr>
            <w:tcW w:w="4902" w:type="dxa"/>
          </w:tcPr>
          <w:p>
            <w:pPr>
              <w:pStyle w:val="ListParagraph"/>
              <w:numPr>
                <w:ilvl w:val="0"/>
                <w:numId w:val="1"/>
              </w:numPr>
            </w:pPr>
            <w:r>
              <w:t xml:space="preserve">Collaborative Scatter-Gather Mining (CSGM): each institution finds cross-institution transaction sets locally, then sets are matched with MinHash, LSH and Bloom filters instead of exchanging raw graphs</w:t>
            </w:r>
          </w:p>
          <w:p>
            <w:pPr>
              <w:pStyle w:val="ListParagraph"/>
              <w:numPr>
                <w:ilvl w:val="0"/>
                <w:numId w:val="1"/>
              </w:numPr>
            </w:pPr>
            <w:r>
              <w:t xml:space="preserve">Real Alipay-ECB data (about 49M accounts after preprocessing): 59 of 100 sampled groups confirmed as laundering</w:t>
            </w:r>
          </w:p>
          <w:p>
            <w:pPr>
              <w:pStyle w:val="ListParagraph"/>
              <w:numPr>
                <w:ilvl w:val="0"/>
                <w:numId w:val="1"/>
              </w:numPr>
            </w:pPr>
            <w:r>
              <w:t xml:space="preserve">On AMLSim, F1 0.95–0.98 against 0.88 for a centralised baseline; minutes of compute and 13–75 MiB of communication per institution</w:t>
            </w:r>
          </w:p>
        </w:tc>
        <w:tc>
          <w:tcPr>
            <w:tcW w:w="3644" w:type="dxa"/>
          </w:tcPr>
          <w:p>
            <w:pPr>
              <w:pStyle w:val="ListParagraph"/>
              <w:numPr>
                <w:ilvl w:val="0"/>
                <w:numId w:val="1"/>
              </w:numPr>
            </w:pPr>
            <w:r>
              <w:t xml:space="preserve">One fixed mechanism for one pattern family (scatter-gather)</w:t>
            </w:r>
          </w:p>
          <w:p>
            <w:pPr>
              <w:pStyle w:val="ListParagraph"/>
              <w:numPr>
                <w:ilvl w:val="0"/>
                <w:numId w:val="1"/>
              </w:numPr>
            </w:pPr>
            <w:r>
              <w:t xml:space="preserve">What the exchanged sketches reveal to a curious peer is not measured by an attack</w:t>
            </w:r>
          </w:p>
          <w:p>
            <w:pPr>
              <w:pStyle w:val="ListParagraph"/>
              <w:numPr>
                <w:ilvl w:val="0"/>
                <w:numId w:val="1"/>
              </w:numPr>
            </w:pPr>
            <w:r>
              <w:t xml:space="preserve">No comparison of how much information banks need to share for the gain</w:t>
            </w:r>
          </w:p>
        </w:tc>
      </w:tr>
      <w:tr>
        <w:tc>
          <w:tcPr>
            <w:tcW w:w="1031" w:type="dxa"/>
          </w:tcPr>
          <w:p>
            <w:r>
              <w:t xml:space="preserve">9</w:t>
            </w:r>
          </w:p>
        </w:tc>
        <w:tc>
          <w:tcPr>
            <w:tcW w:w="4994" w:type="dxa"/>
          </w:tcPr>
          <w:p>
            <w:r>
              <w:t xml:space="preserve">Zheng, W., Yan, L., Gou, C., Wang, F.-Y., 2020. Federated meta-learning for fraudulent credit card detection. Proceedings of the 29th International Joint Conference on Artificial Intelligence (IJCAI 2020), Special Track on AI in FinTech, 4654–4660.</w:t>
            </w:r>
          </w:p>
        </w:tc>
        <w:tc>
          <w:tcPr>
            <w:tcW w:w="4902" w:type="dxa"/>
          </w:tcPr>
          <w:p>
            <w:pPr>
              <w:pStyle w:val="ListParagraph"/>
              <w:numPr>
                <w:ilvl w:val="0"/>
                <w:numId w:val="1"/>
              </w:numPr>
            </w:pPr>
            <w:r>
              <w:t xml:space="preserve">Federated meta-learning across 8 banks with a triplet-like metric-learning classifier (K negatives per mini-batch)</w:t>
            </w:r>
          </w:p>
          <w:p>
            <w:pPr>
              <w:pStyle w:val="ListParagraph"/>
              <w:numPr>
                <w:ilvl w:val="0"/>
                <w:numId w:val="1"/>
              </w:numPr>
            </w:pPr>
            <w:r>
              <w:t xml:space="preserve">Four data sets, including European credit cards (284,807 transactions, 0.17% fraud), PaySim and IEEE-CIS (Vesta)</w:t>
            </w:r>
          </w:p>
          <w:p>
            <w:pPr>
              <w:pStyle w:val="ListParagraph"/>
              <w:numPr>
                <w:ilvl w:val="0"/>
                <w:numId w:val="1"/>
              </w:numPr>
            </w:pPr>
            <w:r>
              <w:t xml:space="preserve">F1 97.9–99.2% against 91–94% for the best baseline</w:t>
            </w:r>
          </w:p>
        </w:tc>
        <w:tc>
          <w:tcPr>
            <w:tcW w:w="3644" w:type="dxa"/>
          </w:tcPr>
          <w:p>
            <w:pPr>
              <w:pStyle w:val="ListParagraph"/>
              <w:numPr>
                <w:ilvl w:val="0"/>
                <w:numId w:val="1"/>
              </w:numPr>
            </w:pPr>
            <w:r>
              <w:t xml:space="preserve">No differential privacy or secure aggregation; privacy rests on keeping raw data local</w:t>
            </w:r>
          </w:p>
          <w:p>
            <w:pPr>
              <w:pStyle w:val="ListParagraph"/>
              <w:numPr>
                <w:ilvl w:val="0"/>
                <w:numId w:val="1"/>
              </w:numPr>
            </w:pPr>
            <w:r>
              <w:t xml:space="preserve">Card fraud on independent transactions, not laundering networks that span banks</w:t>
            </w:r>
          </w:p>
          <w:p>
            <w:pPr>
              <w:pStyle w:val="ListParagraph"/>
              <w:numPr>
                <w:ilvl w:val="0"/>
                <w:numId w:val="1"/>
              </w:numPr>
            </w:pPr>
            <w:r>
              <w:t xml:space="preserve">Very high F1 under heavy imbalance suggests evaluation choices that may not transfer to realistic alert budgets</w:t>
            </w:r>
          </w:p>
        </w:tc>
      </w:tr>
      <w:tr>
        <w:tc>
          <w:tcPr>
            <w:tcW w:w="1031" w:type="dxa"/>
          </w:tcPr>
          <w:p>
            <w:r>
              <w:t xml:space="preserve">10</w:t>
            </w:r>
          </w:p>
        </w:tc>
        <w:tc>
          <w:tcPr>
            <w:tcW w:w="4994" w:type="dxa"/>
          </w:tcPr>
          <w:p>
            <w:r>
              <w:t xml:space="preserve">McMahan, B., Moore, E., Ramage, D., Hampson, S., Agüera y Arcas, B., 2017. Communication-efficient learning of deep networks from decentralized data. Proceedings of the 20th International Conference on Artificial Intelligence and Statistics (AISTATS), PMLR 54, 1273–1282.</w:t>
            </w:r>
          </w:p>
        </w:tc>
        <w:tc>
          <w:tcPr>
            <w:tcW w:w="4902" w:type="dxa"/>
          </w:tcPr>
          <w:p>
            <w:pPr>
              <w:pStyle w:val="ListParagraph"/>
              <w:numPr>
                <w:ilvl w:val="0"/>
                <w:numId w:val="1"/>
              </w:numPr>
            </w:pPr>
            <w:r>
              <w:t xml:space="preserve">Introduces federated learning and Federated Averaging (FedAvg): local SGD on each client, server averages the models</w:t>
            </w:r>
          </w:p>
          <w:p>
            <w:pPr>
              <w:pStyle w:val="ListParagraph"/>
              <w:numPr>
                <w:ilvl w:val="0"/>
                <w:numId w:val="1"/>
              </w:numPr>
            </w:pPr>
            <w:r>
              <w:t xml:space="preserve">Five model architectures on four data sets</w:t>
            </w:r>
          </w:p>
          <w:p>
            <w:pPr>
              <w:pStyle w:val="ListParagraph"/>
              <w:numPr>
                <w:ilvl w:val="0"/>
                <w:numId w:val="1"/>
              </w:numPr>
            </w:pPr>
            <w:r>
              <w:t xml:space="preserve">Robust to unbalanced and non-IID data; 10–100× fewer communication rounds than synchronised SGD</w:t>
            </w:r>
          </w:p>
        </w:tc>
        <w:tc>
          <w:tcPr>
            <w:tcW w:w="3644" w:type="dxa"/>
          </w:tcPr>
          <w:p>
            <w:pPr>
              <w:pStyle w:val="ListParagraph"/>
              <w:numPr>
                <w:ilvl w:val="0"/>
                <w:numId w:val="1"/>
              </w:numPr>
            </w:pPr>
            <w:r>
              <w:t xml:space="preserve">Keeping data local is data minimisation, not a privacy guarantee: model updates can still leak training data</w:t>
            </w:r>
          </w:p>
          <w:p>
            <w:pPr>
              <w:pStyle w:val="ListParagraph"/>
              <w:numPr>
                <w:ilvl w:val="0"/>
                <w:numId w:val="1"/>
              </w:numPr>
            </w:pPr>
            <w:r>
              <w:t xml:space="preserve">Designed for many devices; few-silo, bank-partitioned data with extreme class imbalance is not studied</w:t>
            </w:r>
          </w:p>
        </w:tc>
      </w:tr>
      <w:tr>
        <w:tc>
          <w:tcPr>
            <w:tcW w:w="1031" w:type="dxa"/>
          </w:tcPr>
          <w:p>
            <w:r>
              <w:t xml:space="preserve">11</w:t>
            </w:r>
          </w:p>
        </w:tc>
        <w:tc>
          <w:tcPr>
            <w:tcW w:w="4994" w:type="dxa"/>
          </w:tcPr>
          <w:p>
            <w:r>
              <w:t xml:space="preserve">Kato, F., Xiong, L., Takagi, S., Cao, Y., Yoshikawa, M., 2024. Uldp-FL: federated learning with across-silo user-level differential privacy. Proceedings of the VLDB Endowment 17 (11), 2826–2839.</w:t>
            </w:r>
          </w:p>
        </w:tc>
        <w:tc>
          <w:tcPr>
            <w:tcW w:w="4902" w:type="dxa"/>
          </w:tcPr>
          <w:p>
            <w:pPr>
              <w:pStyle w:val="ListParagraph"/>
              <w:numPr>
                <w:ilvl w:val="0"/>
                <w:numId w:val="1"/>
              </w:numPr>
            </w:pPr>
            <w:r>
              <w:t xml:space="preserve">User-level DP when one user's records are spread across several silos</w:t>
            </w:r>
          </w:p>
          <w:p>
            <w:pPr>
              <w:pStyle w:val="ListParagraph"/>
              <w:numPr>
                <w:ilvl w:val="0"/>
                <w:numId w:val="1"/>
              </w:numPr>
            </w:pPr>
            <w:r>
              <w:t xml:space="preserve">Per-user weighted clipping instead of converting record-level guarantees through group privacy</w:t>
            </w:r>
          </w:p>
          <w:p>
            <w:pPr>
              <w:pStyle w:val="ListParagraph"/>
              <w:numPr>
                <w:ilvl w:val="0"/>
                <w:numId w:val="1"/>
              </w:numPr>
            </w:pPr>
            <w:r>
              <w:t xml:space="preserve">Private aggregation protocol hides silo information; better privacy–utility trade-off than baselines on real data sets</w:t>
            </w:r>
          </w:p>
        </w:tc>
        <w:tc>
          <w:tcPr>
            <w:tcW w:w="3644" w:type="dxa"/>
          </w:tcPr>
          <w:p>
            <w:pPr>
              <w:pStyle w:val="ListParagraph"/>
              <w:numPr>
                <w:ilvl w:val="0"/>
                <w:numId w:val="1"/>
              </w:numPr>
            </w:pPr>
            <w:r>
              <w:t xml:space="preserve">Assumes users can be identified across silos, which itself needs private record linkage between banks</w:t>
            </w:r>
          </w:p>
          <w:p>
            <w:pPr>
              <w:pStyle w:val="ListParagraph"/>
              <w:numPr>
                <w:ilvl w:val="0"/>
                <w:numId w:val="1"/>
              </w:numPr>
            </w:pPr>
            <w:r>
              <w:t xml:space="preserve">Does not cover a user's indirect influence on others' data through graph features</w:t>
            </w:r>
          </w:p>
          <w:p>
            <w:pPr>
              <w:pStyle w:val="ListParagraph"/>
              <w:numPr>
                <w:ilvl w:val="0"/>
                <w:numId w:val="1"/>
              </w:numPr>
            </w:pPr>
            <w:r>
              <w:t xml:space="preserve">Not evaluated on financial-crime data or extreme class imbalance</w:t>
            </w:r>
          </w:p>
        </w:tc>
      </w:tr>
      <w:tr>
        <w:tc>
          <w:tcPr>
            <w:tcW w:w="1031" w:type="dxa"/>
          </w:tcPr>
          <w:p>
            <w:r>
              <w:t xml:space="preserve">12</w:t>
            </w:r>
          </w:p>
        </w:tc>
        <w:tc>
          <w:tcPr>
            <w:tcW w:w="4994" w:type="dxa"/>
          </w:tcPr>
          <w:p>
            <w:r>
              <w:t xml:space="preserve">Abadi, M., Chu, A., Goodfellow, I., McMahan, H.B., Mironov, I., Talwar, K., Zhang, L., 2016. Deep learning with differential privacy. Proceedings of the 2016 ACM SIGSAC Conference on Computer and Communications Security (CCS '16), 308–318.</w:t>
            </w:r>
          </w:p>
        </w:tc>
        <w:tc>
          <w:tcPr>
            <w:tcW w:w="4902" w:type="dxa"/>
          </w:tcPr>
          <w:p>
            <w:pPr>
              <w:pStyle w:val="ListParagraph"/>
              <w:numPr>
                <w:ilvl w:val="0"/>
                <w:numId w:val="1"/>
              </w:numPr>
            </w:pPr>
            <w:r>
              <w:t xml:space="preserve">DP-SGD: clip each example's gradient, add Gaussian noise, then step</w:t>
            </w:r>
          </w:p>
          <w:p>
            <w:pPr>
              <w:pStyle w:val="ListParagraph"/>
              <w:numPr>
                <w:ilvl w:val="0"/>
                <w:numId w:val="1"/>
              </w:numPr>
            </w:pPr>
            <w:r>
              <w:t xml:space="preserve">Moments accountant: much tighter bounds than strong composition (ε ≈ 1.26 against 9.34 in their example)</w:t>
            </w:r>
          </w:p>
          <w:p>
            <w:pPr>
              <w:pStyle w:val="ListParagraph"/>
              <w:numPr>
                <w:ilvl w:val="0"/>
                <w:numId w:val="1"/>
              </w:numPr>
            </w:pPr>
            <w:r>
              <w:t xml:space="preserve">MNIST 90/95/97% accuracy at ε = 0.5/2/8 (non-private 98.3%); CIFAR-10 67/70/73% at ε = 2/4/8</w:t>
            </w:r>
          </w:p>
        </w:tc>
        <w:tc>
          <w:tcPr>
            <w:tcW w:w="3644" w:type="dxa"/>
          </w:tcPr>
          <w:p>
            <w:pPr>
              <w:pStyle w:val="ListParagraph"/>
              <w:numPr>
                <w:ilvl w:val="0"/>
                <w:numId w:val="1"/>
              </w:numPr>
            </w:pPr>
            <w:r>
              <w:t xml:space="preserve">Protects one example; in transaction data an account contributes many rows, so the privacy unit must be chosen deliberately</w:t>
            </w:r>
          </w:p>
          <w:p>
            <w:pPr>
              <w:pStyle w:val="ListParagraph"/>
              <w:numPr>
                <w:ilvl w:val="0"/>
                <w:numId w:val="1"/>
              </w:numPr>
            </w:pPr>
            <w:r>
              <w:t xml:space="preserve">Balanced image benchmarks; utility under 1-in-1,000 class imbalance is not studied</w:t>
            </w:r>
          </w:p>
          <w:p>
            <w:pPr>
              <w:pStyle w:val="ListParagraph"/>
              <w:numPr>
                <w:ilvl w:val="0"/>
                <w:numId w:val="1"/>
              </w:numPr>
            </w:pPr>
            <w:r>
              <w:t xml:space="preserve">Hyperparameter tuning on private data spends privacy that is not accounted for</w:t>
            </w:r>
          </w:p>
        </w:tc>
      </w:tr>
      <w:tr>
        <w:tc>
          <w:tcPr>
            <w:tcW w:w="1031" w:type="dxa"/>
          </w:tcPr>
          <w:p>
            <w:r>
              <w:t xml:space="preserve">13</w:t>
            </w:r>
          </w:p>
        </w:tc>
        <w:tc>
          <w:tcPr>
            <w:tcW w:w="4994" w:type="dxa"/>
          </w:tcPr>
          <w:p>
            <w:r>
              <w:t xml:space="preserve">Mironov, I., 2017. Rényi differential privacy. Proceedings of the 30th IEEE Computer Security Foundations Symposium (CSF), 263–275.</w:t>
            </w:r>
          </w:p>
        </w:tc>
        <w:tc>
          <w:tcPr>
            <w:tcW w:w="4902" w:type="dxa"/>
          </w:tcPr>
          <w:p>
            <w:pPr>
              <w:pStyle w:val="ListParagraph"/>
              <w:numPr>
                <w:ilvl w:val="0"/>
                <w:numId w:val="1"/>
              </w:numPr>
            </w:pPr>
            <w:r>
              <w:t xml:space="preserve">Defines Rényi DP, a relaxation of DP based on the Rényi divergence</w:t>
            </w:r>
          </w:p>
          <w:p>
            <w:pPr>
              <w:pStyle w:val="ListParagraph"/>
              <w:numPr>
                <w:ilvl w:val="0"/>
                <w:numId w:val="1"/>
              </w:numPr>
            </w:pPr>
            <w:r>
              <w:t xml:space="preserve">Keeps the key properties of DP and composes simply</w:t>
            </w:r>
          </w:p>
          <w:p>
            <w:pPr>
              <w:pStyle w:val="ListParagraph"/>
              <w:numPr>
                <w:ilvl w:val="0"/>
                <w:numId w:val="1"/>
              </w:numPr>
            </w:pPr>
            <w:r>
              <w:t xml:space="preserve">Gives tighter analysis of composed, heterogeneous mechanisms; the basis of modern DP-SGD accountants</w:t>
            </w:r>
          </w:p>
        </w:tc>
        <w:tc>
          <w:tcPr>
            <w:tcW w:w="3644" w:type="dxa"/>
          </w:tcPr>
          <w:p>
            <w:pPr>
              <w:pStyle w:val="ListParagraph"/>
              <w:numPr>
                <w:ilvl w:val="0"/>
                <w:numId w:val="1"/>
              </w:numPr>
            </w:pPr>
            <w:r>
              <w:t xml:space="preserve">Theoretical: says nothing about which unit (record, account, customer) to protect</w:t>
            </w:r>
          </w:p>
          <w:p>
            <w:pPr>
              <w:pStyle w:val="ListParagraph"/>
              <w:numPr>
                <w:ilvl w:val="0"/>
                <w:numId w:val="1"/>
              </w:numPr>
            </w:pPr>
            <w:r>
              <w:t xml:space="preserve">Converting to (ε, δ) depends on the orders evaluated and can be loose</w:t>
            </w:r>
          </w:p>
        </w:tc>
      </w:tr>
      <w:tr>
        <w:tc>
          <w:tcPr>
            <w:tcW w:w="1031" w:type="dxa"/>
          </w:tcPr>
          <w:p>
            <w:r>
              <w:t xml:space="preserve">14</w:t>
            </w:r>
          </w:p>
        </w:tc>
        <w:tc>
          <w:tcPr>
            <w:tcW w:w="4994" w:type="dxa"/>
          </w:tcPr>
          <w:p>
            <w:r>
              <w:t xml:space="preserve">Kasiviswanathan, S.P., Nissim, K., Raskhodnikova, S., Smith, A., 2013. Analyzing graphs with node differential privacy. Theory of Cryptography (TCC 2013), Lecture Notes in Computer Science 7785, 457–476.</w:t>
            </w:r>
          </w:p>
        </w:tc>
        <w:tc>
          <w:tcPr>
            <w:tcW w:w="4902" w:type="dxa"/>
          </w:tcPr>
          <w:p>
            <w:pPr>
              <w:pStyle w:val="ListParagraph"/>
              <w:numPr>
                <w:ilvl w:val="0"/>
                <w:numId w:val="1"/>
              </w:numPr>
            </w:pPr>
            <w:r>
              <w:t xml:space="preserve">Node DP: outputs change little when a node and all its edges are added or removed</w:t>
            </w:r>
          </w:p>
          <w:p>
            <w:pPr>
              <w:pStyle w:val="ListParagraph"/>
              <w:numPr>
                <w:ilvl w:val="0"/>
                <w:numId w:val="1"/>
              </w:numPr>
            </w:pPr>
            <w:r>
              <w:t xml:space="preserve">Projects the graph onto bounded-degree graphs (truncation, flow and LP projections) to keep sensitivity low</w:t>
            </w:r>
          </w:p>
          <w:p>
            <w:pPr>
              <w:pStyle w:val="ListParagraph"/>
              <w:numPr>
                <w:ilvl w:val="0"/>
                <w:numId w:val="1"/>
              </w:numPr>
            </w:pPr>
            <w:r>
              <w:t xml:space="preserve">Generic reduction lets any DP algorithm for bounded-degree graphs run on arbitrary graphs</w:t>
            </w:r>
          </w:p>
        </w:tc>
        <w:tc>
          <w:tcPr>
            <w:tcW w:w="3644" w:type="dxa"/>
          </w:tcPr>
          <w:p>
            <w:pPr>
              <w:pStyle w:val="ListParagraph"/>
              <w:numPr>
                <w:ilvl w:val="0"/>
                <w:numId w:val="1"/>
              </w:numPr>
            </w:pPr>
            <w:r>
              <w:t xml:space="preserve">Releases graph statistics; training a model on graph-derived features is not covered</w:t>
            </w:r>
          </w:p>
          <w:p>
            <w:pPr>
              <w:pStyle w:val="ListParagraph"/>
              <w:numPr>
                <w:ilvl w:val="0"/>
                <w:numId w:val="1"/>
              </w:numPr>
            </w:pPr>
            <w:r>
              <w:t xml:space="preserve">Assumes one trusted curator holding the whole graph</w:t>
            </w:r>
          </w:p>
          <w:p>
            <w:pPr>
              <w:pStyle w:val="ListParagraph"/>
              <w:numPr>
                <w:ilvl w:val="0"/>
                <w:numId w:val="1"/>
              </w:numPr>
            </w:pPr>
            <w:r>
              <w:t xml:space="preserve">The utility cost of a degree cap for detecting laundering patterns is not measured</w:t>
            </w:r>
          </w:p>
        </w:tc>
      </w:tr>
      <w:tr>
        <w:tc>
          <w:tcPr>
            <w:tcW w:w="1031" w:type="dxa"/>
          </w:tcPr>
          <w:p>
            <w:r>
              <w:t xml:space="preserve">15</w:t>
            </w:r>
          </w:p>
        </w:tc>
        <w:tc>
          <w:tcPr>
            <w:tcW w:w="4994" w:type="dxa"/>
          </w:tcPr>
          <w:p>
            <w:r>
              <w:t xml:space="preserve">Wang, T., Blocki, J., Li, N., Jha, S., 2017. Locally differentially private protocols for frequency estimation. Proceedings of the 26th USENIX Security Symposium, 729–745.</w:t>
            </w:r>
          </w:p>
        </w:tc>
        <w:tc>
          <w:tcPr>
            <w:tcW w:w="4902" w:type="dxa"/>
          </w:tcPr>
          <w:p>
            <w:pPr>
              <w:pStyle w:val="ListParagraph"/>
              <w:numPr>
                <w:ilvl w:val="0"/>
                <w:numId w:val="1"/>
              </w:numPr>
            </w:pPr>
            <w:r>
              <w:t xml:space="preserve">Framework that generalises local DP frequency-estimation protocols, with a simple aggregation and exact accuracy analysis</w:t>
            </w:r>
          </w:p>
          <w:p>
            <w:pPr>
              <w:pStyle w:val="ListParagraph"/>
              <w:numPr>
                <w:ilvl w:val="0"/>
                <w:numId w:val="1"/>
              </w:numPr>
            </w:pPr>
            <w:r>
              <w:t xml:space="preserve">Derives two optimised protocols, Optimized Unary Encoding (OUE) and Optimized Local Hashing (OLH), with better utility than earlier ones</w:t>
            </w:r>
          </w:p>
          <w:p>
            <w:pPr>
              <w:pStyle w:val="ListParagraph"/>
              <w:numPr>
                <w:ilvl w:val="0"/>
                <w:numId w:val="1"/>
              </w:numPr>
            </w:pPr>
            <w:r>
              <w:t xml:space="preserve">States when each protocol should be used</w:t>
            </w:r>
          </w:p>
        </w:tc>
        <w:tc>
          <w:tcPr>
            <w:tcW w:w="3644" w:type="dxa"/>
          </w:tcPr>
          <w:p>
            <w:pPr>
              <w:pStyle w:val="ListParagraph"/>
              <w:numPr>
                <w:ilvl w:val="0"/>
                <w:numId w:val="1"/>
              </w:numPr>
            </w:pPr>
            <w:r>
              <w:t xml:space="preserve">Estimates population frequencies; using noisy per-record evidence in a downstream classifier is not studied</w:t>
            </w:r>
          </w:p>
          <w:p>
            <w:pPr>
              <w:pStyle w:val="ListParagraph"/>
              <w:numPr>
                <w:ilvl w:val="0"/>
                <w:numId w:val="1"/>
              </w:numPr>
            </w:pPr>
            <w:r>
              <w:t xml:space="preserve">Repeated queries about the same record need memoisation to keep the guarantee</w:t>
            </w:r>
          </w:p>
        </w:tc>
      </w:tr>
      <w:tr>
        <w:tc>
          <w:tcPr>
            <w:tcW w:w="1031" w:type="dxa"/>
          </w:tcPr>
          <w:p>
            <w:r>
              <w:t xml:space="preserve">16</w:t>
            </w:r>
          </w:p>
        </w:tc>
        <w:tc>
          <w:tcPr>
            <w:tcW w:w="4994" w:type="dxa"/>
          </w:tcPr>
          <w:p>
            <w:r>
              <w:t xml:space="preserve">Kolesnikov, V., Kumaresan, R., Rosulek, M., Trieu, N., 2016. Efficient batched oblivious PRF with applications to private set intersection. Proceedings of the 2016 ACM SIGSAC Conference on Computer and Communications Security (CCS '16), 818–829.</w:t>
            </w:r>
          </w:p>
        </w:tc>
        <w:tc>
          <w:tcPr>
            <w:tcW w:w="4902" w:type="dxa"/>
          </w:tcPr>
          <w:p>
            <w:pPr>
              <w:pStyle w:val="ListParagraph"/>
              <w:numPr>
                <w:ilvl w:val="0"/>
                <w:numId w:val="1"/>
              </w:numPr>
            </w:pPr>
            <w:r>
              <w:t xml:space="preserve">Batched oblivious pseudorandom function (OPRF) from OT extension, about 3.5 OTs per instance (semi-honest security)</w:t>
            </w:r>
          </w:p>
          <w:p>
            <w:pPr>
              <w:pStyle w:val="ListParagraph"/>
              <w:numPr>
                <w:ilvl w:val="0"/>
                <w:numId w:val="1"/>
              </w:numPr>
            </w:pPr>
            <w:r>
              <w:t xml:space="preserve">Private set intersection 3.1–3.6× faster than the previous best; two sets of 2^20 items in 3.8 s</w:t>
            </w:r>
          </w:p>
          <w:p>
            <w:pPr>
              <w:pStyle w:val="ListParagraph"/>
              <w:numPr>
                <w:ilvl w:val="0"/>
                <w:numId w:val="1"/>
              </w:numPr>
            </w:pPr>
            <w:r>
              <w:t xml:space="preserve">Only 4.3× slower than insecure plain hashing for large sets</w:t>
            </w:r>
          </w:p>
        </w:tc>
        <w:tc>
          <w:tcPr>
            <w:tcW w:w="3644" w:type="dxa"/>
          </w:tcPr>
          <w:p>
            <w:pPr>
              <w:pStyle w:val="ListParagraph"/>
              <w:numPr>
                <w:ilvl w:val="0"/>
                <w:numId w:val="1"/>
              </w:numPr>
            </w:pPr>
            <w:r>
              <w:t xml:space="preserve">Two-party set intersection, not repeated online look-ups between many banks</w:t>
            </w:r>
          </w:p>
          <w:p>
            <w:pPr>
              <w:pStyle w:val="ListParagraph"/>
              <w:numPr>
                <w:ilvl w:val="0"/>
                <w:numId w:val="1"/>
              </w:numPr>
            </w:pPr>
            <w:r>
              <w:t xml:space="preserve">Leaves open how query volume bounds re-identification by enumerating candidate account numbers</w:t>
            </w:r>
          </w:p>
          <w:p>
            <w:pPr>
              <w:pStyle w:val="ListParagraph"/>
              <w:numPr>
                <w:ilvl w:val="0"/>
                <w:numId w:val="1"/>
              </w:numPr>
            </w:pPr>
            <w:r>
              <w:t xml:space="preserve">Semi-honest model only</w:t>
            </w:r>
          </w:p>
        </w:tc>
      </w:tr>
      <w:tr>
        <w:tc>
          <w:tcPr>
            <w:tcW w:w="1031" w:type="dxa"/>
          </w:tcPr>
          <w:p>
            <w:r>
              <w:t xml:space="preserve">17</w:t>
            </w:r>
          </w:p>
        </w:tc>
        <w:tc>
          <w:tcPr>
            <w:tcW w:w="4994" w:type="dxa"/>
          </w:tcPr>
          <w:p>
            <w:r>
              <w:t xml:space="preserve">Shokri, R., Stronati, M., Song, C., Shmatikov, V., 2017. Membership inference attacks against machine learning models. Proceedings of the 2017 IEEE Symposium on Security and Privacy (SP), 3–18.</w:t>
            </w:r>
          </w:p>
        </w:tc>
        <w:tc>
          <w:tcPr>
            <w:tcW w:w="4902" w:type="dxa"/>
          </w:tcPr>
          <w:p>
            <w:pPr>
              <w:pStyle w:val="ListParagraph"/>
              <w:numPr>
                <w:ilvl w:val="0"/>
                <w:numId w:val="1"/>
              </w:numPr>
            </w:pPr>
            <w:r>
              <w:t xml:space="preserve">Shadow-model membership inference with black-box query access</w:t>
            </w:r>
          </w:p>
          <w:p>
            <w:pPr>
              <w:pStyle w:val="ListParagraph"/>
              <w:numPr>
                <w:ilvl w:val="0"/>
                <w:numId w:val="1"/>
              </w:numPr>
            </w:pPr>
            <w:r>
              <w:t xml:space="preserve">Attacks Google Prediction API and Amazon ML models: median precision about 0.94 and 0.74 on retail purchase data</w:t>
            </w:r>
          </w:p>
          <w:p>
            <w:pPr>
              <w:pStyle w:val="ListParagraph"/>
              <w:numPr>
                <w:ilvl w:val="0"/>
                <w:numId w:val="1"/>
              </w:numPr>
            </w:pPr>
            <w:r>
              <w:t xml:space="preserve">Output restriction, rounding and temperature help little; regularisation helps most; DP training protects by construction</w:t>
            </w:r>
          </w:p>
        </w:tc>
        <w:tc>
          <w:tcPr>
            <w:tcW w:w="3644" w:type="dxa"/>
          </w:tcPr>
          <w:p>
            <w:pPr>
              <w:pStyle w:val="ListParagraph"/>
              <w:numPr>
                <w:ilvl w:val="0"/>
                <w:numId w:val="1"/>
              </w:numPr>
            </w:pPr>
            <w:r>
              <w:t xml:space="preserve">Average-case metrics (accuracy, precision) hide failure at low false-positive rates</w:t>
            </w:r>
          </w:p>
          <w:p>
            <w:pPr>
              <w:pStyle w:val="ListParagraph"/>
              <w:numPr>
                <w:ilvl w:val="0"/>
                <w:numId w:val="1"/>
              </w:numPr>
            </w:pPr>
            <w:r>
              <w:t xml:space="preserve">Targets released models only, not information exchanged between institutions</w:t>
            </w:r>
          </w:p>
        </w:tc>
      </w:tr>
      <w:tr>
        <w:tc>
          <w:tcPr>
            <w:tcW w:w="1031" w:type="dxa"/>
          </w:tcPr>
          <w:p>
            <w:r>
              <w:t xml:space="preserve">18</w:t>
            </w:r>
          </w:p>
        </w:tc>
        <w:tc>
          <w:tcPr>
            <w:tcW w:w="4994" w:type="dxa"/>
          </w:tcPr>
          <w:p>
            <w:r>
              <w:t xml:space="preserve">Carlini, N., Chien, S., Nasr, M., Song, S., Terzis, A., Tramèr, F., 2022. Membership inference attacks from first principles. Proceedings of the 2022 IEEE Symposium on Security and Privacy (SP), 1897–1914.</w:t>
            </w:r>
          </w:p>
        </w:tc>
        <w:tc>
          <w:tcPr>
            <w:tcW w:w="4902" w:type="dxa"/>
          </w:tcPr>
          <w:p>
            <w:pPr>
              <w:pStyle w:val="ListParagraph"/>
              <w:numPr>
                <w:ilvl w:val="0"/>
                <w:numId w:val="1"/>
              </w:numPr>
            </w:pPr>
            <w:r>
              <w:t xml:space="preserve">Argues privacy attacks must be judged by true-positive rate at very low false-positive rates (≤ 0.1%), with log-scale ROC curves</w:t>
            </w:r>
          </w:p>
          <w:p>
            <w:pPr>
              <w:pStyle w:val="ListParagraph"/>
              <w:numPr>
                <w:ilvl w:val="0"/>
                <w:numId w:val="1"/>
              </w:numPr>
            </w:pPr>
            <w:r>
              <w:t xml:space="preserve">LiRA: a likelihood-ratio test using shadow models</w:t>
            </w:r>
          </w:p>
          <w:p>
            <w:pPr>
              <w:pStyle w:val="ListParagraph"/>
              <w:numPr>
                <w:ilvl w:val="0"/>
                <w:numId w:val="1"/>
              </w:numPr>
            </w:pPr>
            <w:r>
              <w:t xml:space="preserve">The LOSS attack has 60% balanced accuracy but finds almost no members at 0.1% FPR; LiRA is about 10× more effective there</w:t>
            </w:r>
          </w:p>
        </w:tc>
        <w:tc>
          <w:tcPr>
            <w:tcW w:w="3644" w:type="dxa"/>
          </w:tcPr>
          <w:p>
            <w:pPr>
              <w:pStyle w:val="ListParagraph"/>
              <w:numPr>
                <w:ilvl w:val="0"/>
                <w:numId w:val="1"/>
              </w:numPr>
            </w:pPr>
            <w:r>
              <w:t xml:space="preserve">Needs many shadow models, costly for large tabular or federated training</w:t>
            </w:r>
          </w:p>
          <w:p>
            <w:pPr>
              <w:pStyle w:val="ListParagraph"/>
              <w:numPr>
                <w:ilvl w:val="0"/>
                <w:numId w:val="1"/>
              </w:numPr>
            </w:pPr>
            <w:r>
              <w:t xml:space="preserve">Evaluated on centralised image and text models; cross-silo and graph settings are not studied</w:t>
            </w:r>
          </w:p>
        </w:tc>
      </w:tr>
      <w:tr>
        <w:tc>
          <w:tcPr>
            <w:tcW w:w="1031" w:type="dxa"/>
          </w:tcPr>
          <w:p>
            <w:r>
              <w:t xml:space="preserve">19</w:t>
            </w:r>
          </w:p>
        </w:tc>
        <w:tc>
          <w:tcPr>
            <w:tcW w:w="4994" w:type="dxa"/>
          </w:tcPr>
          <w:p>
            <w:r>
              <w:t xml:space="preserve">Jagielski, M., Ullman, J., Oprea, A., 2020. Auditing differentially private machine learning: how private is private SGD? Advances in Neural Information Processing Systems 33, 22205–22216.</w:t>
            </w:r>
          </w:p>
        </w:tc>
        <w:tc>
          <w:tcPr>
            <w:tcW w:w="4902" w:type="dxa"/>
          </w:tcPr>
          <w:p>
            <w:pPr>
              <w:pStyle w:val="ListParagraph"/>
              <w:numPr>
                <w:ilvl w:val="0"/>
                <w:numId w:val="1"/>
              </w:numPr>
            </w:pPr>
            <w:r>
              <w:t xml:space="preserve">Audits DP-SGD empirically with data-poisoning attacks that give empirical lower bounds on ε</w:t>
            </w:r>
          </w:p>
          <w:p>
            <w:pPr>
              <w:pStyle w:val="ListParagraph"/>
              <w:numPr>
                <w:ilvl w:val="0"/>
                <w:numId w:val="1"/>
              </w:numPr>
            </w:pPr>
            <w:r>
              <w:t xml:space="preserve">Treats the link between DP and poisoning as a measurement tool, not only a defence</w:t>
            </w:r>
          </w:p>
          <w:p>
            <w:pPr>
              <w:pStyle w:val="ListParagraph"/>
              <w:numPr>
                <w:ilvl w:val="0"/>
                <w:numId w:val="1"/>
              </w:numPr>
            </w:pPr>
            <w:r>
              <w:t xml:space="preserve">Compares measured privacy with the analytical guarantee of DP-SGD</w:t>
            </w:r>
          </w:p>
        </w:tc>
        <w:tc>
          <w:tcPr>
            <w:tcW w:w="3644" w:type="dxa"/>
          </w:tcPr>
          <w:p>
            <w:pPr>
              <w:pStyle w:val="ListParagraph"/>
              <w:numPr>
                <w:ilvl w:val="0"/>
                <w:numId w:val="1"/>
              </w:numPr>
            </w:pPr>
            <w:r>
              <w:t xml:space="preserve">Centralised, single-model setting; federated training is not audited</w:t>
            </w:r>
          </w:p>
          <w:p>
            <w:pPr>
              <w:pStyle w:val="ListParagraph"/>
              <w:numPr>
                <w:ilvl w:val="0"/>
                <w:numId w:val="1"/>
              </w:numPr>
            </w:pPr>
            <w:r>
              <w:t xml:space="preserve">Each audit needs many trainings</w:t>
            </w:r>
          </w:p>
          <w:p>
            <w:pPr>
              <w:pStyle w:val="ListParagraph"/>
              <w:numPr>
                <w:ilvl w:val="0"/>
                <w:numId w:val="1"/>
              </w:numPr>
            </w:pPr>
            <w:r>
              <w:t xml:space="preserve">Does not address units larger than one example (accounts, customers)</w:t>
            </w:r>
          </w:p>
        </w:tc>
      </w:tr>
      <w:tr>
        <w:tc>
          <w:tcPr>
            <w:tcW w:w="1031" w:type="dxa"/>
          </w:tcPr>
          <w:p>
            <w:r>
              <w:t xml:space="preserve">20</w:t>
            </w:r>
          </w:p>
        </w:tc>
        <w:tc>
          <w:tcPr>
            <w:tcW w:w="4994" w:type="dxa"/>
          </w:tcPr>
          <w:p>
            <w:r>
              <w:t xml:space="preserve">Shokri, R., Strobel, M., Zick, Y., 2021. On the privacy risks of model explanations. Proceedings of the 2021 AAAI/ACM Conference on AI, Ethics, and Society (AIES '21), ACM.</w:t>
            </w:r>
          </w:p>
        </w:tc>
        <w:tc>
          <w:tcPr>
            <w:tcW w:w="4902" w:type="dxa"/>
          </w:tcPr>
          <w:p>
            <w:pPr>
              <w:pStyle w:val="ListParagraph"/>
              <w:numPr>
                <w:ilvl w:val="0"/>
                <w:numId w:val="1"/>
              </w:numPr>
            </w:pPr>
            <w:r>
              <w:t xml:space="preserve">Membership inference from feature-based explanations across many data sets</w:t>
            </w:r>
          </w:p>
          <w:p>
            <w:pPr>
              <w:pStyle w:val="ListParagraph"/>
              <w:numPr>
                <w:ilvl w:val="0"/>
                <w:numId w:val="1"/>
              </w:numPr>
            </w:pPr>
            <w:r>
              <w:t xml:space="preserve">Gradient-based explanations leak significantly on tabular data (Purchase, Texas)</w:t>
            </w:r>
          </w:p>
          <w:p>
            <w:pPr>
              <w:pStyle w:val="ListParagraph"/>
              <w:numPr>
                <w:ilvl w:val="0"/>
                <w:numId w:val="1"/>
              </w:numPr>
            </w:pPr>
            <w:r>
              <w:t xml:space="preserve">Perturbation methods (SmoothGrad, LIME) resist, at a cost in fidelity; example-based explanations leak most, and outliers and minorities are most exposed</w:t>
            </w:r>
          </w:p>
        </w:tc>
        <w:tc>
          <w:tcPr>
            <w:tcW w:w="3644" w:type="dxa"/>
          </w:tcPr>
          <w:p>
            <w:pPr>
              <w:pStyle w:val="ListParagraph"/>
              <w:numPr>
                <w:ilvl w:val="0"/>
                <w:numId w:val="1"/>
              </w:numPr>
            </w:pPr>
            <w:r>
              <w:t xml:space="preserve">Explanations to end users, not evidence records exchanged between institutions</w:t>
            </w:r>
          </w:p>
          <w:p>
            <w:pPr>
              <w:pStyle w:val="ListParagraph"/>
              <w:numPr>
                <w:ilvl w:val="0"/>
                <w:numId w:val="1"/>
              </w:numPr>
            </w:pPr>
            <w:r>
              <w:t xml:space="preserve">Utility–leakage trade-off of sharing case evidence is not quantified</w:t>
            </w:r>
          </w:p>
          <w:p>
            <w:pPr>
              <w:pStyle w:val="ListParagraph"/>
              <w:numPr>
                <w:ilvl w:val="0"/>
                <w:numId w:val="1"/>
              </w:numPr>
            </w:pPr>
            <w:r>
              <w:t xml:space="preserve">No formally private release mechanism for the evidence itself</w:t>
            </w:r>
          </w:p>
        </w:tc>
      </w:tr>
    </w:tbl>
    <w:p/>
    <w:p>
      <w:pPr>
        <w:keepNext/>
        <w:rPr>
          <w:b/>
          <w:bCs/>
        </w:rPr>
      </w:pPr>
      <w:r>
        <w:rPr>
          <w:b/>
          <w:bCs/>
        </w:rPr>
        <w:t xml:space="preserve">Research gap identified from the survey</w:t>
      </w:r>
    </w:p>
    <w:p>
      <w:pPr>
        <w:pStyle w:val="ListParagraph"/>
        <w:numPr>
          <w:ilvl w:val="0"/>
          <w:numId w:val="1"/>
        </w:numPr>
      </w:pPr>
      <w:r>
        <w:t xml:space="preserve">Collaboration helps, but each study tests one fixed mechanism (pooled graphs [4, 5, 6], federated models [7, 9, 10] or sketch matching [8]). None compares how much banks need to share, from alert flags to full records, on one data set and one alert budget.</w:t>
      </w:r>
    </w:p>
    <w:p>
      <w:pPr>
        <w:pStyle w:val="ListParagraph"/>
        <w:numPr>
          <w:ilvl w:val="0"/>
          <w:numId w:val="1"/>
        </w:numPr>
      </w:pPr>
      <w:r>
        <w:t xml:space="preserve">Privacy is usually assumed rather than measured. Attack methods exist [17, 18, 19, 20] but target models and explanations, not the evidence banks exchange with each other.</w:t>
      </w:r>
    </w:p>
    <w:p>
      <w:pPr>
        <w:pStyle w:val="ListParagraph"/>
        <w:numPr>
          <w:ilvl w:val="0"/>
          <w:numId w:val="1"/>
        </w:numPr>
      </w:pPr>
      <w:r>
        <w:t xml:space="preserve">Private matching is efficient [16], but how query budgets bound re-identification of account numbers in a bank consortium is not studied.</w:t>
      </w:r>
    </w:p>
    <w:p>
      <w:pPr>
        <w:pStyle w:val="ListParagraph"/>
        <w:numPr>
          <w:ilvl w:val="0"/>
          <w:numId w:val="1"/>
        </w:numPr>
      </w:pPr>
      <w:r>
        <w:t xml:space="preserve">DP training protects single examples on balanced benchmarks [12, 13]. An account-level unit, an account's indirect influence through graph features [14], and 1-in-1,000 imbalance remain open, as does cross-silo identity [11].</w:t>
      </w:r>
    </w:p>
    <w:p>
      <w:pPr>
        <w:pStyle w:val="ListParagraph"/>
        <w:numPr>
          <w:ilvl w:val="0"/>
          <w:numId w:val="1"/>
        </w:numPr>
      </w:pPr>
      <w:r>
        <w:t xml:space="preserve">Evaluation is mostly transaction-level F1 at a fixed threshold [3, 4, 5, 9]. Per-bank alert budgets, scheme-level detection and a sealed test set are rare.</w:t>
      </w:r>
    </w:p>
    <w:p>
      <w:pPr>
        <w:pStyle w:val="ListParagraph"/>
        <w:numPr>
          <w:ilvl w:val="0"/>
          <w:numId w:val="1"/>
        </w:numPr>
      </w:pPr>
      <w:r>
        <w:t xml:space="preserve">FinMesh addresses these gaps: a ladder of sharing levels (S0–S4, local DP and progressive disclosure) on one budget, OPRF matching with sized query budgets, an attack suite against every level, and account-level DP with a degree cap, evaluated on AMLworld.</w:t>
      </w:r>
    </w:p>
    <w:sectPr w:rsidR="00554229" w:rsidRPr="0086304A" w:rsidSect="00A624E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3080F72"/>
    <w:multiLevelType w:val="hybridMultilevel"/>
    <w:tmpl w:val="6A001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545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4EA"/>
    <w:rsid w:val="000124EA"/>
    <w:rsid w:val="000974E0"/>
    <w:rsid w:val="002C6290"/>
    <w:rsid w:val="00554229"/>
    <w:rsid w:val="00576D0F"/>
    <w:rsid w:val="00793272"/>
    <w:rsid w:val="0086304A"/>
    <w:rsid w:val="00A624E5"/>
    <w:rsid w:val="00B13087"/>
    <w:rsid w:val="00B2514C"/>
    <w:rsid w:val="00D265A4"/>
    <w:rsid w:val="00D3377E"/>
    <w:rsid w:val="00E14C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CBF594"/>
  <w15:chartTrackingRefBased/>
  <w15:docId w15:val="{FDDE40BF-9A2C-4FF3-9E8B-32A940467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124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624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112</Words>
  <Characters>691</Characters>
  <Application>Microsoft Office Word</Application>
  <DocSecurity>0</DocSecurity>
  <Lines>34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2</cp:revision>
  <dcterms:created xsi:type="dcterms:W3CDTF">2024-07-15T07:57:00Z</dcterms:created>
  <dcterms:modified xsi:type="dcterms:W3CDTF">2024-07-15T07:57:00Z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018a994a-52c9-400f-8858-6fe850cbefca</vt:lpwstr>
  </property>
</Properties>
</file>