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jc w:val="center"/>
      </w:pPr>
      <w:r>
        <w:rPr>
          <w:b/>
          <w:bCs/>
          <w:color w:val="12466C"/>
          <w:sz w:val="56"/>
          <w:szCs w:val="56"/>
        </w:rPr>
        <w:t xml:space="preserve">TE-NDT QCMS</w:t>
      </w:r>
    </w:p>
    <w:p>
      <w:pPr>
        <w:spacing w:after="100" w:before="200"/>
        <w:jc w:val="center"/>
      </w:pPr>
      <w:r>
        <w:rPr>
          <w:sz w:val="32"/>
          <w:szCs w:val="32"/>
        </w:rPr>
        <w:t xml:space="preserve">Personnel Compliance Management System</w:t>
      </w:r>
    </w:p>
    <w:p>
      <w:pPr>
        <w:spacing w:after="100" w:before="100"/>
        <w:jc w:val="center"/>
      </w:pPr>
      <w:r>
        <w:rPr>
          <w:i/>
          <w:iCs/>
          <w:color w:val="5D6873"/>
          <w:sz w:val="26"/>
          <w:szCs w:val="26"/>
        </w:rPr>
        <w:t xml:space="preserve">Project Architecture &amp; Operations Report</w:t>
      </w:r>
    </w:p>
    <w:p>
      <w:pPr>
        <w:spacing w:before="600"/>
        <w:jc w:val="center"/>
      </w:pPr>
      <w:r>
        <w:rPr>
          <w:color w:val="8A949E"/>
          <w:sz w:val="20"/>
          <w:szCs w:val="20"/>
        </w:rPr>
        <w:t xml:space="preserve">Generated 18 August 2026 at 03:25</w:t>
      </w:r>
    </w:p>
    <w:p>
      <w:pPr>
        <w:jc w:val="center"/>
      </w:pPr>
      <w:r>
        <w:rPr>
          <w:color w:val="8A949E"/>
          <w:sz w:val="20"/>
          <w:szCs w:val="20"/>
        </w:rPr>
        <w:t xml:space="preserve">Repository: github.com/alluciousm-dotcom/TE-NDT-QCMS</w:t>
      </w:r>
    </w:p>
    <w:p>
      <w:r>
        <w:br w:type="page"/>
      </w:r>
    </w:p>
    <w:p>
      <w:pPr>
        <w:pStyle w:val="Heading1"/>
        <w:spacing w:after="150" w:before="300"/>
      </w:pPr>
      <w:r>
        <w:t xml:space="preserve">1. Overview</w:t>
      </w:r>
    </w:p>
    <w:p>
      <w:pPr>
        <w:spacing w:after="120"/>
      </w:pPr>
      <w:r>
        <w:t xml:space="preserve">Certification and compliance records for NDT (non-destructive testing) inspection personnel. Three roles use the system:</w:t>
      </w:r>
    </w:p>
    <w:p>
      <w:pPr>
        <w:pStyle w:val="ListParagraph"/>
        <w:numPr>
          <w:ilvl w:val="0"/>
          <w:numId w:val="1"/>
        </w:numPr>
        <w:spacing w:after="80"/>
      </w:pPr>
      <w:r>
        <w:t xml:space="preserve">Staff manage their own profile and upload the certificates their audits require.</w:t>
      </w:r>
    </w:p>
    <w:p>
      <w:pPr>
        <w:pStyle w:val="ListParagraph"/>
        <w:numPr>
          <w:ilvl w:val="0"/>
          <w:numId w:val="1"/>
        </w:numPr>
        <w:spacing w:after="80"/>
      </w:pPr>
      <w:r>
        <w:t xml:space="preserve">Supervisors see and upload for the staff assigned to them, and nobody else.</w:t>
      </w:r>
    </w:p>
    <w:p>
      <w:pPr>
        <w:pStyle w:val="ListParagraph"/>
        <w:numPr>
          <w:ilvl w:val="0"/>
          <w:numId w:val="1"/>
        </w:numPr>
        <w:spacing w:after="80"/>
      </w:pPr>
      <w:r>
        <w:t xml:space="preserve">Managers decide who is onboarded, who holds which role and region, which NDT method/level qualifications are on record, and whether an audit passes.</w:t>
      </w:r>
    </w:p>
    <w:p>
      <w:pPr>
        <w:spacing w:after="120"/>
      </w:pPr>
      <w:r>
        <w:t xml:space="preserve">React and Vite on the frontend. Supabase for authentication, Postgres, storage, and two Edge Functions. There is no application server — the static bundle talks to Supabase directly from the browser.</w:t>
      </w:r>
    </w:p>
    <w:p>
      <w:pPr>
        <w:spacing w:after="120"/>
      </w:pPr>
      <w:r>
        <w:rPr>
          <w:b/>
          <w:bCs/>
        </w:rPr>
        <w:t xml:space="preserve">Live project: </w:t>
      </w:r>
      <w:r>
        <w:t xml:space="preserve">cvnmspdyvdmwoqkkeics (Supabase, eu-west-3). </w:t>
      </w:r>
      <w:r>
        <w:rPr>
          <w:b/>
          <w:bCs/>
        </w:rPr>
        <w:t xml:space="preserve">Hosting: </w:t>
      </w:r>
      <w:r>
        <w:t xml:space="preserve">GitHub Pages, redeployed on every push to main.</w:t>
      </w:r>
    </w:p>
    <w:p>
      <w:pPr>
        <w:pStyle w:val="Heading1"/>
        <w:spacing w:after="150" w:before="300"/>
      </w:pPr>
      <w:r>
        <w:t xml:space="preserve">2. The One Architectural Rule</w:t>
      </w:r>
    </w:p>
    <w:p>
      <w:pPr>
        <w:spacing w:after="120"/>
      </w:pPr>
      <w:r>
        <w:rPr>
          <w:b/>
          <w:bCs/>
        </w:rPr>
        <w:t xml:space="preserve">Clients never write to a table. </w:t>
      </w:r>
      <w:r>
        <w:t xml:space="preserve">Row level security grants select only. Every state change goes through a security definer function in supabase/migrations/0002_audit.sql, and each of those functions writes its audit row in the same transaction as the change it describes. If the change commits, the audit entry commits — there is no path where one happens without the other.</w:t>
      </w:r>
    </w:p>
    <w:p>
      <w:pPr>
        <w:spacing w:after="120"/>
      </w:pPr>
      <w:r>
        <w:t xml:space="preserve">The OpenAI key lives only in the ai-review Edge Function’s environment. Nothing prefixed VITE_ is secret: it is compiled into the JavaScript that ships to every browser, so anything sensitive stays server-side by construction, not by convention.</w:t>
      </w:r>
    </w:p>
    <w:p>
      <w:pPr>
        <w:pStyle w:val="Heading1"/>
        <w:spacing w:after="150" w:before="300"/>
      </w:pPr>
      <w:r>
        <w:t xml:space="preserve">3. Authentication: SAP Number, Not Email</w:t>
      </w:r>
    </w:p>
    <w:p>
      <w:pPr>
        <w:spacing w:after="120"/>
      </w:pPr>
      <w:r>
        <w:t xml:space="preserve">Nobody has a work email in this system — identity is the SAP number already printed on their badge and payslip. Supabase Auth only speaks email/password, so each account gets a synthetic, unreachable email: {sapNo}@te-ndt-qcms.internal. The password is the SAP number itself.</w:t>
      </w:r>
    </w:p>
    <w:p>
      <w:pPr>
        <w:spacing w:after="120"/>
      </w:pPr>
      <w:r>
        <w:t xml:space="preserve">Supabase enforces a 6-character password minimum, and several SAP numbers are only 4 digits, so whatever is typed into a password field is zero-padded on the left to 6 characters ("6428" becomes "006428") before it reaches Supabase. This is invisible to the person — they only ever type their own SAP number — and harmless for a self-chosen password, since padding a string already 6+ characters long is a no-op.</w:t>
      </w:r>
    </w:p>
    <w:p>
      <w:pPr>
        <w:spacing w:after="120"/>
      </w:pPr>
      <w:r>
        <w:t xml:space="preserve">Self-service password changes are re-verified against the current password first, closing the "unlocked unattended browser" account-takeover path that a plain updateUser() call would otherwise leave open. A manager can reset anyone’s password back to their SAP number from the People page.</w:t>
      </w:r>
    </w:p>
    <w:p>
      <w:pPr>
        <w:pStyle w:val="Heading1"/>
        <w:spacing w:after="150" w:before="300"/>
      </w:pPr>
      <w:r>
        <w:t xml:space="preserve">4. Provisioning People</w:t>
      </w:r>
    </w:p>
    <w:p>
      <w:pPr>
        <w:spacing w:after="120"/>
      </w:pPr>
      <w:r>
        <w:t xml:space="preserve">New accounts are created through the admin-people Edge Function (People → Add a person), never through Supabase’s normal sign-up flow — a synthetic email cannot receive a confirmation link. The function creates the account via the Auth admin API with email_confirm: true and the chosen role, region and supervisor discipline stamped into user_metadata. A database trigger (handle_new_user) reads that metadata and seeds the profile row in the same step, so the account is fully usable the moment it is created.</w:t>
      </w:r>
    </w:p>
    <w:p>
      <w:pPr>
        <w:spacing w:after="120"/>
      </w:pPr>
      <w:r>
        <w:t xml:space="preserve">The very first manager account was bootstrapped once, by hand: create the auth user directly, then a one-off SQL role update. Every subsequent role change goes through the audited set_user_role function and is logged.</w:t>
      </w:r>
    </w:p>
    <w:p>
      <w:pPr>
        <w:pStyle w:val="Heading1"/>
        <w:spacing w:after="150" w:before="300"/>
      </w:pPr>
      <w:r>
        <w:t xml:space="preserve">5. NDT Method Qualifications</w:t>
      </w:r>
    </w:p>
    <w:p>
      <w:pPr>
        <w:spacing w:after="120"/>
      </w:pPr>
      <w:r>
        <w:t xml:space="preserve">A person can hold more than one level of the same method at once — PT Level 1 and PT Level 2 both on file are two independent, coexisting facts, not one overwriting the other. The staff_ndt_qualifications table keys on (subject_id, method, level), not (subject_id, method). Levels run 1–4.</w:t>
      </w:r>
    </w:p>
    <w:p>
      <w:pPr>
        <w:spacing w:after="120"/>
      </w:pPr>
      <w:r>
        <w:t xml:space="preserve">The Q-Cert document type is "per method": every upload asks which method and level it covers. Uploading a new PT Level 2 certificate only ever supersedes an existing PT Level 2 — a Level 1 certificate on file is untouched. Approving a per-method document automatically writes the matching row into staff_ndt_qualifications in the same transaction, so the certificate and the recorded qualification cannot silently drift apart.</w:t>
      </w:r>
    </w:p>
    <w:p>
      <w:pPr>
        <w:spacing w:after="120"/>
      </w:pPr>
      <w:r>
        <w:t xml:space="preserve">The compliance view expands a per-method type into one tracked row per method+level the person actually holds, so "Qualification certificate (PT · Level 1)" and "(PT · Level 2)" show as independently tracked requirements, each with its own status.</w:t>
      </w:r>
    </w:p>
    <w:p>
      <w:pPr>
        <w:pStyle w:val="Heading1"/>
        <w:spacing w:after="150" w:before="300"/>
      </w:pPr>
      <w:r>
        <w:t xml:space="preserve">6. Documents</w:t>
      </w:r>
    </w:p>
    <w:p>
      <w:pPr>
        <w:spacing w:after="120"/>
      </w:pPr>
      <w:r>
        <w:t xml:space="preserve">Document status moves pending → approved or rejected, plus two terminal states outside that lifecycle: superseded (a newer submission for the same type/method/level replaced it) and deleted (a manager or the assigned supervisor retracted a mistaken upload). Deletion never erases anything — the row and the stored file stay, audited like every other action, but the document drops out of the person’s active record and compliance status. Only pending or rejected documents can be deleted; an approved certificate can only be superseded by a fresh submission.</w:t>
      </w:r>
    </w:p>
    <w:p>
      <w:pPr>
        <w:spacing w:after="120"/>
      </w:pPr>
      <w:r>
        <w:t xml:space="preserve">A document can be marked "never expires" at upload time for certificate types that carry no expiry, rather than forcing a fake date into the record.</w:t>
      </w:r>
    </w:p>
    <w:p>
      <w:pPr>
        <w:pStyle w:val="Heading1"/>
        <w:spacing w:after="150" w:before="300"/>
      </w:pPr>
      <w:r>
        <w:t xml:space="preserve">7. Data Model</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c>
          <w:tcPr>
            <w:shd w:fill="12466C" w:val="clear"/>
          </w:tcPr>
          <w:p>
            <w:r>
              <w:rPr>
                <w:b/>
                <w:bCs/>
                <w:color w:val="FFFFFF"/>
                <w:sz w:val="20"/>
                <w:szCs w:val="20"/>
              </w:rPr>
              <w:t xml:space="preserve">Table</w:t>
            </w:r>
          </w:p>
        </w:tc>
        <w:tc>
          <w:tcPr>
            <w:shd w:fill="12466C" w:val="clear"/>
          </w:tcPr>
          <w:p>
            <w:r>
              <w:rPr>
                <w:b/>
                <w:bCs/>
                <w:color w:val="FFFFFF"/>
                <w:sz w:val="20"/>
                <w:szCs w:val="20"/>
              </w:rPr>
              <w:t xml:space="preserve">What it holds</w:t>
            </w:r>
          </w:p>
        </w:tc>
      </w:tr>
      <w:tr>
        <w:tc>
          <w:p>
            <w:r>
              <w:rPr>
                <w:b w:val="false"/>
                <w:bCs w:val="false"/>
                <w:sz w:val="20"/>
                <w:szCs w:val="20"/>
              </w:rPr>
              <w:t xml:space="preserve">profiles</w:t>
            </w:r>
          </w:p>
        </w:tc>
        <w:tc>
          <w:p>
            <w:r>
              <w:rPr>
                <w:b w:val="false"/>
                <w:bCs w:val="false"/>
                <w:sz w:val="20"/>
                <w:szCs w:val="20"/>
              </w:rPr>
              <w:t xml:space="preserve">One row per person: SAP number, region, role, supervisor discipline, ID number, position, avatar, employment dates.</w:t>
            </w:r>
          </w:p>
        </w:tc>
      </w:tr>
      <w:tr>
        <w:tc>
          <w:p>
            <w:r>
              <w:rPr>
                <w:b w:val="false"/>
                <w:bCs w:val="false"/>
                <w:sz w:val="20"/>
                <w:szCs w:val="20"/>
              </w:rPr>
              <w:t xml:space="preserve">depots</w:t>
            </w:r>
          </w:p>
        </w:tc>
        <w:tc>
          <w:p>
            <w:r>
              <w:rPr>
                <w:b w:val="false"/>
                <w:bCs w:val="false"/>
                <w:sz w:val="20"/>
                <w:szCs w:val="20"/>
              </w:rPr>
              <w:t xml:space="preserve">The 8 regions: BFN, KZNDBN, KZNSD, GMX, KDS, WCSRX, UTH, WCSLD.</w:t>
            </w:r>
          </w:p>
        </w:tc>
      </w:tr>
      <w:tr>
        <w:tc>
          <w:p>
            <w:r>
              <w:rPr>
                <w:b w:val="false"/>
                <w:bCs w:val="false"/>
                <w:sz w:val="20"/>
                <w:szCs w:val="20"/>
              </w:rPr>
              <w:t xml:space="preserve">staff_assignments</w:t>
            </w:r>
          </w:p>
        </w:tc>
        <w:tc>
          <w:p>
            <w:r>
              <w:rPr>
                <w:b w:val="false"/>
                <w:bCs w:val="false"/>
                <w:sz w:val="20"/>
                <w:szCs w:val="20"/>
              </w:rPr>
              <w:t xml:space="preserve">Supervisor → staff, for the "supervises the people assigned to them" rule.</w:t>
            </w:r>
          </w:p>
        </w:tc>
      </w:tr>
      <w:tr>
        <w:tc>
          <w:p>
            <w:r>
              <w:rPr>
                <w:b w:val="false"/>
                <w:bCs w:val="false"/>
                <w:sz w:val="20"/>
                <w:szCs w:val="20"/>
              </w:rPr>
              <w:t xml:space="preserve">staff_ndt_qualifications</w:t>
            </w:r>
          </w:p>
        </w:tc>
        <w:tc>
          <w:p>
            <w:r>
              <w:rPr>
                <w:b w:val="false"/>
                <w:bCs w:val="false"/>
                <w:sz w:val="20"/>
                <w:szCs w:val="20"/>
              </w:rPr>
              <w:t xml:space="preserve">(subject_id, method, level) — see Section 5.</w:t>
            </w:r>
          </w:p>
        </w:tc>
      </w:tr>
      <w:tr>
        <w:tc>
          <w:p>
            <w:r>
              <w:rPr>
                <w:b w:val="false"/>
                <w:bCs w:val="false"/>
                <w:sz w:val="20"/>
                <w:szCs w:val="20"/>
              </w:rPr>
              <w:t xml:space="preserve">document_types</w:t>
            </w:r>
          </w:p>
        </w:tc>
        <w:tc>
          <w:p>
            <w:r>
              <w:rPr>
                <w:b w:val="false"/>
                <w:bCs w:val="false"/>
                <w:sz w:val="20"/>
                <w:szCs w:val="20"/>
              </w:rPr>
              <w:t xml:space="preserve">The 7 certificate types, each with requires_expiry, manager_only (Log-B only), per_method (Q-Cert only).</w:t>
            </w:r>
          </w:p>
        </w:tc>
      </w:tr>
      <w:tr>
        <w:tc>
          <w:p>
            <w:r>
              <w:rPr>
                <w:b w:val="false"/>
                <w:bCs w:val="false"/>
                <w:sz w:val="20"/>
                <w:szCs w:val="20"/>
              </w:rPr>
              <w:t xml:space="preserve">documents</w:t>
            </w:r>
          </w:p>
        </w:tc>
        <w:tc>
          <w:p>
            <w:r>
              <w:rPr>
                <w:b w:val="false"/>
                <w:bCs w:val="false"/>
                <w:sz w:val="20"/>
                <w:szCs w:val="20"/>
              </w:rPr>
              <w:t xml:space="preserve">One row per upload/version. method/level when per_method; never_expires; full decision trail.</w:t>
            </w:r>
          </w:p>
        </w:tc>
      </w:tr>
      <w:tr>
        <w:tc>
          <w:p>
            <w:r>
              <w:rPr>
                <w:b w:val="false"/>
                <w:bCs w:val="false"/>
                <w:sz w:val="20"/>
                <w:szCs w:val="20"/>
              </w:rPr>
              <w:t xml:space="preserve">compliance_audits</w:t>
            </w:r>
          </w:p>
        </w:tc>
        <w:tc>
          <w:p>
            <w:r>
              <w:rPr>
                <w:b w:val="false"/>
                <w:bCs w:val="false"/>
                <w:sz w:val="20"/>
                <w:szCs w:val="20"/>
              </w:rPr>
              <w:t xml:space="preserve">Formal pass/fail audits a manager opens and decides on a person.</w:t>
            </w:r>
          </w:p>
        </w:tc>
      </w:tr>
      <w:tr>
        <w:tc>
          <w:p>
            <w:r>
              <w:rPr>
                <w:b w:val="false"/>
                <w:bCs w:val="false"/>
                <w:sz w:val="20"/>
                <w:szCs w:val="20"/>
              </w:rPr>
              <w:t xml:space="preserve">audit_log</w:t>
            </w:r>
          </w:p>
        </w:tc>
        <w:tc>
          <w:p>
            <w:r>
              <w:rPr>
                <w:b w:val="false"/>
                <w:bCs w:val="false"/>
                <w:sz w:val="20"/>
                <w:szCs w:val="20"/>
              </w:rPr>
              <w:t xml:space="preserve">Hash-chained, append-only. See Section 10.</w:t>
            </w:r>
          </w:p>
        </w:tc>
      </w:tr>
      <w:tr>
        <w:tc>
          <w:p>
            <w:r>
              <w:rPr>
                <w:b w:val="false"/>
                <w:bCs w:val="false"/>
                <w:sz w:val="20"/>
                <w:szCs w:val="20"/>
              </w:rPr>
              <w:t xml:space="preserve">ai_review_log</w:t>
            </w:r>
          </w:p>
        </w:tc>
        <w:tc>
          <w:p>
            <w:r>
              <w:rPr>
                <w:b w:val="false"/>
                <w:bCs w:val="false"/>
                <w:sz w:val="20"/>
                <w:szCs w:val="20"/>
              </w:rPr>
              <w:t xml:space="preserve">Every AI review call, including failures.</w:t>
            </w:r>
          </w:p>
        </w:tc>
      </w:tr>
    </w:tbl>
    <w:p>
      <w:pPr>
        <w:spacing w:after="120"/>
      </w:pPr>
    </w:p>
    <w:p>
      <w:pPr>
        <w:spacing w:after="120"/>
      </w:pPr>
      <w:r>
        <w:t xml:space="preserve">compliance_matrix is the view every list and dashboard reads: one row per person per mandatory requirement, with the current state of its most recent non-superseded, non-deleted submission — missing, pending, expiring, expired, rejected, or valid.</w:t>
      </w:r>
    </w:p>
    <w:p>
      <w:pPr>
        <w:pStyle w:val="Heading1"/>
        <w:spacing w:after="150" w:before="300"/>
      </w:pPr>
      <w:r>
        <w:t xml:space="preserve">8. Edge Functions</w:t>
      </w:r>
    </w:p>
    <w:p>
      <w:pPr>
        <w:spacing w:after="120"/>
      </w:pPr>
      <w:r>
        <w:rPr>
          <w:b/>
          <w:bCs/>
        </w:rPr>
        <w:t xml:space="preserve">admin-people — </w:t>
      </w:r>
      <w:r>
        <w:t xml:space="preserve">the only place accounts are created or passwords are reset. Both need the Auth admin API, which needs the service role key, which the browser never sees. A manager calls it with their own session; the function checks their role itself and writes its own audit row.</w:t>
      </w:r>
    </w:p>
    <w:p>
      <w:pPr>
        <w:spacing w:after="120"/>
      </w:pPr>
      <w:r>
        <w:rPr>
          <w:b/>
          <w:bCs/>
        </w:rPr>
        <w:t xml:space="preserve">ai-review — </w:t>
      </w:r>
      <w:r>
        <w:t xml:space="preserve">reviews one uploaded document against its document type’s review checklist and records a verdict, findings, and extracted fields in ai_review_log. Advisory only — nothing the model returns writes to documents or staff_ndt_qualifications; the compliance decision stays with the manager.</w:t>
      </w:r>
    </w:p>
    <w:p>
      <w:pPr>
        <w:pStyle w:val="Heading1"/>
        <w:spacing w:after="150" w:before="300"/>
      </w:pPr>
      <w:r>
        <w:t xml:space="preserve">9. Frontend Pages</w:t>
      </w:r>
    </w:p>
    <w:p>
      <w:pPr>
        <w:pStyle w:val="ListParagraph"/>
        <w:numPr>
          <w:ilvl w:val="0"/>
          <w:numId w:val="1"/>
        </w:numPr>
        <w:spacing w:after="80"/>
      </w:pPr>
      <w:r>
        <w:t xml:space="preserve">Dashboard (manager landing page) — KPIs, a labelled donut for certificate status, expiry forecast, personnel-by-region and personnel-by-role donuts in a colourblind-validated palette, qualified-personnel-by-method bars. A region filter scopes every panel and the export below it.</w:t>
      </w:r>
    </w:p>
    <w:p>
      <w:pPr>
        <w:pStyle w:val="ListParagraph"/>
        <w:numPr>
          <w:ilvl w:val="0"/>
          <w:numId w:val="1"/>
        </w:numPr>
        <w:spacing w:after="80"/>
      </w:pPr>
      <w:r>
        <w:t xml:space="preserve">Compliance — the person-by-person status list, filterable by not-cleared / expiring / awaiting review.</w:t>
      </w:r>
    </w:p>
    <w:p>
      <w:pPr>
        <w:pStyle w:val="ListParagraph"/>
        <w:numPr>
          <w:ilvl w:val="0"/>
          <w:numId w:val="1"/>
        </w:numPr>
        <w:spacing w:after="80"/>
      </w:pPr>
      <w:r>
        <w:t xml:space="preserve">People (manager only) — add a person, change role, reset a password, assign supervisors.</w:t>
      </w:r>
    </w:p>
    <w:p>
      <w:pPr>
        <w:pStyle w:val="ListParagraph"/>
        <w:numPr>
          <w:ilvl w:val="0"/>
          <w:numId w:val="1"/>
        </w:numPr>
        <w:spacing w:after="80"/>
      </w:pPr>
      <w:r>
        <w:t xml:space="preserve">Personal record — certificate status, documents, NDT qualifications; managers/supervisors additionally get detail editing, qualification granting, and document approve/reject/delete.</w:t>
      </w:r>
    </w:p>
    <w:p>
      <w:pPr>
        <w:pStyle w:val="ListParagraph"/>
        <w:numPr>
          <w:ilvl w:val="0"/>
          <w:numId w:val="1"/>
        </w:numPr>
        <w:spacing w:after="80"/>
      </w:pPr>
      <w:r>
        <w:t xml:space="preserve">Audit trail — the append-only log, filterable by person.</w:t>
      </w:r>
    </w:p>
    <w:p>
      <w:pPr>
        <w:pStyle w:val="ListParagraph"/>
        <w:numPr>
          <w:ilvl w:val="0"/>
          <w:numId w:val="1"/>
        </w:numPr>
        <w:spacing w:after="80"/>
      </w:pPr>
      <w:r>
        <w:t xml:space="preserve">Account — change name, password, avatar.</w:t>
      </w:r>
    </w:p>
    <w:p>
      <w:pPr>
        <w:pStyle w:val="Heading2"/>
        <w:spacing w:after="120" w:before="240"/>
      </w:pPr>
      <w:r>
        <w:t xml:space="preserve">Document preview</w:t>
      </w:r>
    </w:p>
    <w:p>
      <w:pPr>
        <w:spacing w:after="120"/>
      </w:pPr>
      <w:r>
        <w:t xml:space="preserve">Documents render inline rather than opening in a new tab — a deliberate fix, not a style choice. window.open() called after an await is silently blocked by most browsers since it no longer counts as a direct result of the click. PDFs render via pdf.js onto a canvas (with zoom and page navigation) rather than an iframe, because handing a PDF to the browser’s own viewer has the same silent-download problem. pdf.js also needs its own font-substitution data to render text using non-embedded fonts — without it, it silently drops most of a scanned certificate’s body text instead of erroring.</w:t>
      </w:r>
    </w:p>
    <w:p>
      <w:pPr>
        <w:pStyle w:val="Heading2"/>
        <w:spacing w:after="120" w:before="240"/>
      </w:pPr>
      <w:r>
        <w:t xml:space="preserve">Exports</w:t>
      </w:r>
    </w:p>
    <w:p>
      <w:pPr>
        <w:spacing w:after="120"/>
      </w:pPr>
      <w:r>
        <w:t xml:space="preserve">The dashboard’s Download control (one format dropdown, one button) respects the active region filter, in four formats: CSV and Excel (full 13-column detail, built with SheetJS’s patched CDN build rather than the vulnerable npm-registry release), and PDF/Word reports (a trimmed, readable 7-column table plus the dashboard’s summary KPIs). All three export libraries are loaded on demand, so none of them cost anything on a dashboard visit that never clicks Download.</w:t>
      </w:r>
    </w:p>
    <w:p>
      <w:pPr>
        <w:pStyle w:val="Heading1"/>
        <w:spacing w:after="150" w:before="300"/>
      </w:pPr>
      <w:r>
        <w:t xml:space="preserve">10. Setup &amp; Deployment</w:t>
      </w:r>
    </w:p>
    <w:p>
      <w:pPr>
        <w:pStyle w:val="Heading2"/>
        <w:spacing w:after="120" w:before="240"/>
      </w:pPr>
      <w:r>
        <w:t xml:space="preserve">Supabase</w:t>
      </w:r>
    </w:p>
    <w:p>
      <w:pPr>
        <w:spacing w:after="120"/>
      </w:pPr>
      <w:r>
        <w:t xml:space="preserve">Run the three migrations in order (0001_schema.sql, 0002_audit.sql, 0003_rls.sql) via the CLI or the SQL editor. Direct database connections (db.&lt;ref&gt;.supabase.co:5432) are IPv6-only and fail outright on an IPv4-only network — use the session pooler connection string instead.</w:t>
      </w:r>
    </w:p>
    <w:p>
      <w:pPr>
        <w:pStyle w:val="Heading2"/>
        <w:spacing w:after="120" w:before="240"/>
      </w:pPr>
      <w:r>
        <w:t xml:space="preserve">Edge Functions</w:t>
      </w:r>
    </w:p>
    <w:p>
      <w:pPr>
        <w:spacing w:after="120"/>
      </w:pPr>
      <w:r>
        <w:t xml:space="preserve">Deploy admin-people and ai-review, then set secrets: OPENAI_API_KEY, OPENAI_MODEL, ALLOWED_ORIGIN. SUPABASE_URL, SUPABASE_ANON_KEY and SUPABASE_SERVICE_ROLE_KEY are injected automatically.</w:t>
      </w:r>
    </w:p>
    <w:p>
      <w:pPr>
        <w:pStyle w:val="Heading2"/>
        <w:spacing w:after="120" w:before="240"/>
      </w:pPr>
      <w:r>
        <w:t xml:space="preserve">GitHub Pages</w:t>
      </w:r>
    </w:p>
    <w:p>
      <w:pPr>
        <w:spacing w:after="120"/>
      </w:pPr>
      <w:r>
        <w:t xml:space="preserve">deploy-pages.yml builds and publishes on every push to main. VITE_SUPABASE_URL and VITE_SUPABASE_ANON_KEY are set as repository Variables, not Secrets, since they end up in the bundle anyway. Pages source must be set to "GitHub Actions" in Settings → Pages — GitHub’s own setup wizard defaults to adding a competing Jekyll workflow otherwise.</w:t>
      </w:r>
    </w:p>
    <w:p>
      <w:pPr>
        <w:pStyle w:val="Heading1"/>
        <w:spacing w:after="150" w:before="300"/>
      </w:pPr>
      <w:r>
        <w:t xml:space="preserve">11. What Gets Logged</w:t>
      </w:r>
    </w:p>
    <w:p>
      <w:pPr>
        <w:spacing w:after="120"/>
      </w:pPr>
      <w:r>
        <w:t xml:space="preserve">Two separate systems, deliberately. The audit trail (audit_log) is the business record: written inside the transaction, append-only, enforced by a trigger that raises on update and delete, each row sealed with a SHA-256 hash of its own content plus the previous row’s hash so altering history breaks the chain from that point on. The AI review log (ai_review_log) records every call to the model, including failures, with the exact model string, prompt version, cost and latency. Neither is an operational log — application errors and latency belong in a separate log drain.</w:t>
      </w:r>
    </w:p>
    <w:p>
      <w:pPr>
        <w:spacing w:after="120"/>
      </w:pPr>
      <w:r>
        <w:t xml:space="preserve">The audit trail is never cleared, even during development: entries from this system’s own build-and-test phase were deliberately kept rather than wiped when test data was cleared for go-live, specifically because clearing the trail itself would mean bypassing the append-only guarantee that is the whole point of the table.</w:t>
      </w:r>
    </w:p>
    <w:p>
      <w:pPr>
        <w:pStyle w:val="Heading1"/>
        <w:spacing w:after="150" w:before="300"/>
      </w:pPr>
      <w:r>
        <w:t xml:space="preserve">12. Known Gotchas (Postgres/Supabase-specific)</w:t>
      </w:r>
    </w:p>
    <w:p>
      <w:pPr>
        <w:pStyle w:val="ListParagraph"/>
        <w:numPr>
          <w:ilvl w:val="0"/>
          <w:numId w:val="1"/>
        </w:numPr>
        <w:spacing w:after="80"/>
      </w:pPr>
      <w:r>
        <w:t xml:space="preserve">CREATE OR REPLACE FUNCTION does not replace a function whose parameter list changed — it silently creates a second overload. Drop the old signature explicitly first.</w:t>
      </w:r>
    </w:p>
    <w:p>
      <w:pPr>
        <w:pStyle w:val="ListParagraph"/>
        <w:numPr>
          <w:ilvl w:val="0"/>
          <w:numId w:val="1"/>
        </w:numPr>
        <w:spacing w:after="80"/>
      </w:pPr>
      <w:r>
        <w:t xml:space="preserve">pgcrypto lives in the extensions schema on Supabase, not public. Any security definer function calling digest() needs search_path = public, extensions, or every audited write in the app breaks at once, not just the one that surfaces it.</w:t>
      </w:r>
    </w:p>
    <w:p>
      <w:pPr>
        <w:pStyle w:val="ListParagraph"/>
        <w:numPr>
          <w:ilvl w:val="0"/>
          <w:numId w:val="1"/>
        </w:numPr>
        <w:spacing w:after="80"/>
      </w:pPr>
      <w:r>
        <w:t xml:space="preserve">ALTER TYPE … ADD VALUE cannot be used in the same transaction as code that references the new value — it needs its own standalone, auto-committed statement first.</w:t>
      </w:r>
    </w:p>
    <w:p>
      <w:pPr>
        <w:pStyle w:val="ListParagraph"/>
        <w:numPr>
          <w:ilvl w:val="0"/>
          <w:numId w:val="1"/>
        </w:numPr>
        <w:spacing w:after="80"/>
      </w:pPr>
      <w:r>
        <w:t xml:space="preserve">Direct Postgres connections are IPv6-only and fail with an unhelpful timeout on IPv4-only networks. Use the session pooler.</w:t>
      </w:r>
    </w:p>
    <w:p>
      <w:pPr>
        <w:pStyle w:val="ListParagraph"/>
        <w:numPr>
          <w:ilvl w:val="0"/>
          <w:numId w:val="1"/>
        </w:numPr>
        <w:spacing w:after="80"/>
      </w:pPr>
      <w:r>
        <w:t xml:space="preserve">jsPDF’s default font mangles non-ASCII characters (em dashes, smart quotes) into a replacement glyph instead of erroring — sanitize to ASCII before generating a PDF.</w:t>
      </w:r>
    </w:p>
    <w:p>
      <w:pPr>
        <w:pStyle w:val="Heading1"/>
        <w:spacing w:after="150" w:before="300"/>
      </w:pPr>
      <w:r>
        <w:t xml:space="preserve">13. Known Gaps</w:t>
      </w:r>
    </w:p>
    <w:p>
      <w:pPr>
        <w:pStyle w:val="ListParagraph"/>
        <w:numPr>
          <w:ilvl w:val="0"/>
          <w:numId w:val="1"/>
        </w:numPr>
        <w:spacing w:after="80"/>
      </w:pPr>
      <w:r>
        <w:t xml:space="preserve">No training register, exam register, or SNT-TC-1A written-practice tracking as structured data — only document uploads stand in for them today.</w:t>
      </w:r>
    </w:p>
    <w:p>
      <w:pPr>
        <w:pStyle w:val="ListParagraph"/>
        <w:numPr>
          <w:ilvl w:val="0"/>
          <w:numId w:val="1"/>
        </w:numPr>
        <w:spacing w:after="80"/>
      </w:pPr>
      <w:r>
        <w:t xml:space="preserve">No capacity planning / equipment utilisation tracking — nothing about equipment exists in the schema.</w:t>
      </w:r>
    </w:p>
    <w:p>
      <w:pPr>
        <w:pStyle w:val="ListParagraph"/>
        <w:numPr>
          <w:ilvl w:val="0"/>
          <w:numId w:val="1"/>
        </w:numPr>
        <w:spacing w:after="80"/>
      </w:pPr>
      <w:r>
        <w:t xml:space="preserve">No findings/corrective-action register or exceptions/risk register — compliance_audits has one free-text notes field per audit, not discrete tracked findings.</w:t>
      </w:r>
    </w:p>
    <w:p>
      <w:pPr>
        <w:pStyle w:val="ListParagraph"/>
        <w:numPr>
          <w:ilvl w:val="0"/>
          <w:numId w:val="1"/>
        </w:numPr>
        <w:spacing w:after="80"/>
      </w:pPr>
      <w:r>
        <w:t xml:space="preserve">No email notifications for expiring certificates yet.</w:t>
      </w:r>
    </w:p>
    <w:p>
      <w:pPr>
        <w:pStyle w:val="ListParagraph"/>
        <w:numPr>
          <w:ilvl w:val="0"/>
          <w:numId w:val="1"/>
        </w:numPr>
        <w:spacing w:after="80"/>
      </w:pPr>
      <w:r>
        <w:t xml:space="preserve">No signed, audit-ready single-person export beyond the general CSV/Excel/PDF/Word compliance exports.</w:t>
      </w:r>
    </w:p>
    <w:p>
      <w:pPr>
        <w:pStyle w:val="ListParagraph"/>
        <w:numPr>
          <w:ilvl w:val="0"/>
          <w:numId w:val="1"/>
        </w:numPr>
        <w:spacing w:after="80"/>
      </w:pPr>
      <w:r>
        <w:t xml:space="preserve">Deleting a document removes it from the app’s view but does not delete the underlying file from storage — by design, since documents are never truly erased.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2026-08-18T01:25:22.322Z</dcterms:created>
  <dcterms:modified xsi:type="dcterms:W3CDTF">2026-08-18T01:25:22.325Z</dcterms:modified>
</cp:coreProperties>
</file>

<file path=docProps/custom.xml><?xml version="1.0" encoding="utf-8"?>
<Properties xmlns="http://schemas.openxmlformats.org/officeDocument/2006/custom-properties" xmlns:vt="http://schemas.openxmlformats.org/officeDocument/2006/docPropsVTypes"/>
</file>