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CROSS-INVESTOR CONSISTENCY MEMO</w:t>
      </w:r>
    </w:p>
    <w:p>
      <w:pPr>
        <w:jc w:val="center"/>
      </w:pPr>
      <w:r>
        <w:rPr>
          <w:b/>
          <w:sz w:val="22"/>
        </w:rPr>
        <w:t>EDGE × DSE (SPE 2)  vs.  EDGE × EastWest Bank (Full Tranche)</w:t>
      </w:r>
    </w:p>
    <w:p/>
    <w:p>
      <w:pPr>
        <w:spacing w:after="40"/>
      </w:pPr>
      <w:r>
        <w:rPr>
          <w:b/>
        </w:rPr>
        <w:t>DATE:</w:t>
      </w:r>
      <w:r>
        <w:t xml:space="preserve">  _______________ (Draft)</w:t>
      </w:r>
    </w:p>
    <w:p>
      <w:pPr>
        <w:spacing w:after="40"/>
      </w:pPr>
      <w:r>
        <w:rPr>
          <w:b/>
        </w:rPr>
        <w:t>FROM:</w:t>
      </w:r>
      <w:r>
        <w:t xml:space="preserve">  Paul Christodoulou, CFO — EDGE Energy</w:t>
      </w:r>
    </w:p>
    <w:p>
      <w:pPr>
        <w:spacing w:after="40"/>
      </w:pPr>
      <w:r>
        <w:rPr>
          <w:b/>
        </w:rPr>
        <w:t>RE:</w:t>
      </w:r>
      <w:r>
        <w:t xml:space="preserve">  Term consistency, MFN risk, and closing-sequence considerations across parallel tax-equity raises</w:t>
      </w:r>
    </w:p>
    <w:p>
      <w:pPr>
        <w:spacing w:after="40"/>
      </w:pPr>
      <w:r>
        <w:rPr>
          <w:b/>
        </w:rPr>
        <w:t>STATUS:</w:t>
      </w:r>
      <w:r>
        <w:t xml:space="preserve">  Internal — for sponsor / counsel review prior to deal execution</w:t>
      </w:r>
    </w:p>
    <w:p/>
    <w:p>
      <w:pPr>
        <w:pStyle w:val="Heading1"/>
      </w:pPr>
      <w:r>
        <w:rPr>
          <w:b/>
        </w:rPr>
        <w:t>Executive Summary</w:t>
      </w:r>
    </w:p>
    <w:p>
      <w:pPr>
        <w:spacing w:after="120"/>
        <w:jc w:val="both"/>
      </w:pPr>
      <w:r>
        <w:t>EDGE is in active negotiation with two tax-equity counterparties under parallel partnership-flip structures: (1) Direct Supply Equity (DSE) investing in SPE 2 (Vintage 2 — ~200 homes / ~$6.24M Class A subscription), and (2) EastWest Bank investing across the full 5-vintage tranche (~1,000 homes / ~$31.2M Class A subscription, $50M/yr tax appetite). Both deals use identical structural terms (99/1 → 5/95 allocations, M60 floor, M72 hold, §704(b) QIO, §704(c) remedial, no §6418, Aon recapture, 8.4% Target After-Tax IRR). This memo flags the dimensions where the two deals could diverge operationally and the cross-investor risks that result.</w:t>
      </w:r>
    </w:p>
    <w:p>
      <w:pPr>
        <w:pStyle w:val="Heading1"/>
      </w:pPr>
      <w:r>
        <w:rPr>
          <w:b/>
        </w:rPr>
        <w:t>Term Comparison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Term</w:t>
            </w:r>
          </w:p>
        </w:tc>
        <w:tc>
          <w:tcPr>
            <w:tcW w:type="dxa" w:w="3216"/>
          </w:tcPr>
          <w:p>
            <w:r>
              <w:rPr>
                <w:b/>
              </w:rPr>
              <w:t>DSE (SPE 2)</w:t>
            </w:r>
          </w:p>
        </w:tc>
        <w:tc>
          <w:tcPr>
            <w:tcW w:type="dxa" w:w="3216"/>
          </w:tcPr>
          <w:p>
            <w:r>
              <w:rPr>
                <w:b/>
              </w:rPr>
              <w:t>EastWest (full tranche)</w:t>
            </w:r>
          </w:p>
        </w:tc>
      </w:tr>
      <w:tr>
        <w:tc>
          <w:tcPr>
            <w:tcW w:type="dxa" w:w="3216"/>
          </w:tcPr>
          <w:p>
            <w:r>
              <w:t>Scope</w:t>
            </w:r>
          </w:p>
        </w:tc>
        <w:tc>
          <w:tcPr>
            <w:tcW w:type="dxa" w:w="3216"/>
          </w:tcPr>
          <w:p>
            <w:r>
              <w:t>SPE 2 only (~200 homes)</w:t>
            </w:r>
          </w:p>
        </w:tc>
        <w:tc>
          <w:tcPr>
            <w:tcW w:type="dxa" w:w="3216"/>
          </w:tcPr>
          <w:p>
            <w:r>
              <w:t>All 5 vintage SPEs (1,000 homes)</w:t>
            </w:r>
          </w:p>
        </w:tc>
      </w:tr>
      <w:tr>
        <w:tc>
          <w:tcPr>
            <w:tcW w:type="dxa" w:w="3216"/>
          </w:tcPr>
          <w:p>
            <w:r>
              <w:t>Class A subscription</w:t>
            </w:r>
          </w:p>
        </w:tc>
        <w:tc>
          <w:tcPr>
            <w:tcW w:type="dxa" w:w="3216"/>
          </w:tcPr>
          <w:p>
            <w:r>
              <w:t>~$6.24M</w:t>
            </w:r>
          </w:p>
        </w:tc>
        <w:tc>
          <w:tcPr>
            <w:tcW w:type="dxa" w:w="3216"/>
          </w:tcPr>
          <w:p>
            <w:r>
              <w:t>~$31.2M ($6.24M × 5 vintages)</w:t>
            </w:r>
          </w:p>
        </w:tc>
      </w:tr>
      <w:tr>
        <w:tc>
          <w:tcPr>
            <w:tcW w:type="dxa" w:w="3216"/>
          </w:tcPr>
          <w:p>
            <w:r>
              <w:t>Project capex covered</w:t>
            </w:r>
          </w:p>
        </w:tc>
        <w:tc>
          <w:tcPr>
            <w:tcW w:type="dxa" w:w="3216"/>
          </w:tcPr>
          <w:p>
            <w:r>
              <w:t>~$10.4M (single vintage)</w:t>
            </w:r>
          </w:p>
        </w:tc>
        <w:tc>
          <w:tcPr>
            <w:tcW w:type="dxa" w:w="3216"/>
          </w:tcPr>
          <w:p>
            <w:r>
              <w:t>~$52M (5 vintages)</w:t>
            </w:r>
          </w:p>
        </w:tc>
      </w:tr>
      <w:tr>
        <w:tc>
          <w:tcPr>
            <w:tcW w:type="dxa" w:w="3216"/>
          </w:tcPr>
          <w:p>
            <w:r>
              <w:t>Annual tax appetite addressed</w:t>
            </w:r>
          </w:p>
        </w:tc>
        <w:tc>
          <w:tcPr>
            <w:tcW w:type="dxa" w:w="3216"/>
          </w:tcPr>
          <w:p>
            <w:r>
              <w:t>1 year × ~$50M</w:t>
            </w:r>
          </w:p>
        </w:tc>
        <w:tc>
          <w:tcPr>
            <w:tcW w:type="dxa" w:w="3216"/>
          </w:tcPr>
          <w:p>
            <w:r>
              <w:t>5 years × $50M = ~$250M tax / 5</w:t>
            </w:r>
          </w:p>
        </w:tc>
      </w:tr>
      <w:tr>
        <w:tc>
          <w:tcPr>
            <w:tcW w:type="dxa" w:w="3216"/>
          </w:tcPr>
          <w:p>
            <w:r>
              <w:t>Capital structure (Class A / B / Debt)</w:t>
            </w:r>
          </w:p>
        </w:tc>
        <w:tc>
          <w:tcPr>
            <w:tcW w:type="dxa" w:w="3216"/>
          </w:tcPr>
          <w:p>
            <w:r>
              <w:t>60% / 15% / 25%</w:t>
            </w:r>
          </w:p>
        </w:tc>
        <w:tc>
          <w:tcPr>
            <w:tcW w:type="dxa" w:w="3216"/>
          </w:tcPr>
          <w:p>
            <w:r>
              <w:t>60% / 15% / 25%</w:t>
            </w:r>
          </w:p>
        </w:tc>
      </w:tr>
      <w:tr>
        <w:tc>
          <w:tcPr>
            <w:tcW w:type="dxa" w:w="3216"/>
          </w:tcPr>
          <w:p>
            <w:r>
              <w:t>Pre-flip allocation</w:t>
            </w:r>
          </w:p>
        </w:tc>
        <w:tc>
          <w:tcPr>
            <w:tcW w:type="dxa" w:w="3216"/>
          </w:tcPr>
          <w:p>
            <w:r>
              <w:t>99% / 1%</w:t>
            </w:r>
          </w:p>
        </w:tc>
        <w:tc>
          <w:tcPr>
            <w:tcW w:type="dxa" w:w="3216"/>
          </w:tcPr>
          <w:p>
            <w:r>
              <w:t>99% / 1%</w:t>
            </w:r>
          </w:p>
        </w:tc>
      </w:tr>
      <w:tr>
        <w:tc>
          <w:tcPr>
            <w:tcW w:type="dxa" w:w="3216"/>
          </w:tcPr>
          <w:p>
            <w:r>
              <w:t>Post-flip allocation</w:t>
            </w:r>
          </w:p>
        </w:tc>
        <w:tc>
          <w:tcPr>
            <w:tcW w:type="dxa" w:w="3216"/>
          </w:tcPr>
          <w:p>
            <w:r>
              <w:t>5% / 95%</w:t>
            </w:r>
          </w:p>
        </w:tc>
        <w:tc>
          <w:tcPr>
            <w:tcW w:type="dxa" w:w="3216"/>
          </w:tcPr>
          <w:p>
            <w:r>
              <w:t>5% / 95%</w:t>
            </w:r>
          </w:p>
        </w:tc>
      </w:tr>
      <w:tr>
        <w:tc>
          <w:tcPr>
            <w:tcW w:type="dxa" w:w="3216"/>
          </w:tcPr>
          <w:p>
            <w:r>
              <w:t>Flip trigger</w:t>
            </w:r>
          </w:p>
        </w:tc>
        <w:tc>
          <w:tcPr>
            <w:tcW w:type="dxa" w:w="3216"/>
          </w:tcPr>
          <w:p>
            <w:r>
              <w:t>Yield-based @ 8.4% After-Tax IRR</w:t>
            </w:r>
          </w:p>
        </w:tc>
        <w:tc>
          <w:tcPr>
            <w:tcW w:type="dxa" w:w="3216"/>
          </w:tcPr>
          <w:p>
            <w:r>
              <w:t>Yield-based @ 8.4% After-Tax IRR</w:t>
            </w:r>
          </w:p>
        </w:tc>
      </w:tr>
      <w:tr>
        <w:tc>
          <w:tcPr>
            <w:tcW w:type="dxa" w:w="3216"/>
          </w:tcPr>
          <w:p>
            <w:r>
              <w:t>Time-based floor</w:t>
            </w:r>
          </w:p>
        </w:tc>
        <w:tc>
          <w:tcPr>
            <w:tcW w:type="dxa" w:w="3216"/>
          </w:tcPr>
          <w:p>
            <w:r>
              <w:t>M60 (Rev. Proc. 2007-65 §4.06)</w:t>
            </w:r>
          </w:p>
        </w:tc>
        <w:tc>
          <w:tcPr>
            <w:tcW w:type="dxa" w:w="3216"/>
          </w:tcPr>
          <w:p>
            <w:r>
              <w:t>M60 (Rev. Proc. 2007-65 §4.06)</w:t>
            </w:r>
          </w:p>
        </w:tc>
      </w:tr>
      <w:tr>
        <w:tc>
          <w:tcPr>
            <w:tcW w:type="dxa" w:w="3216"/>
          </w:tcPr>
          <w:p>
            <w:r>
              <w:t>Structural hold</w:t>
            </w:r>
          </w:p>
        </w:tc>
        <w:tc>
          <w:tcPr>
            <w:tcW w:type="dxa" w:w="3216"/>
          </w:tcPr>
          <w:p>
            <w:r>
              <w:t>M72</w:t>
            </w:r>
          </w:p>
        </w:tc>
        <w:tc>
          <w:tcPr>
            <w:tcW w:type="dxa" w:w="3216"/>
          </w:tcPr>
          <w:p>
            <w:r>
              <w:t>M72</w:t>
            </w:r>
          </w:p>
        </w:tc>
      </w:tr>
      <w:tr>
        <w:tc>
          <w:tcPr>
            <w:tcW w:type="dxa" w:w="3216"/>
          </w:tcPr>
          <w:p>
            <w:r>
              <w:t>§704(b) QIO + §704(c) remedial</w:t>
            </w:r>
          </w:p>
        </w:tc>
        <w:tc>
          <w:tcPr>
            <w:tcW w:type="dxa" w:w="3216"/>
          </w:tcPr>
          <w:p>
            <w:r>
              <w:t>Yes / Yes</w:t>
            </w:r>
          </w:p>
        </w:tc>
        <w:tc>
          <w:tcPr>
            <w:tcW w:type="dxa" w:w="3216"/>
          </w:tcPr>
          <w:p>
            <w:r>
              <w:t>Yes / Yes</w:t>
            </w:r>
          </w:p>
        </w:tc>
      </w:tr>
      <w:tr>
        <w:tc>
          <w:tcPr>
            <w:tcW w:type="dxa" w:w="3216"/>
          </w:tcPr>
          <w:p>
            <w:r>
              <w:t>§168(k) bonus depreciation</w:t>
            </w:r>
          </w:p>
        </w:tc>
        <w:tc>
          <w:tcPr>
            <w:tcW w:type="dxa" w:w="3216"/>
          </w:tcPr>
          <w:p>
            <w:r>
              <w:t>100%</w:t>
            </w:r>
          </w:p>
        </w:tc>
        <w:tc>
          <w:tcPr>
            <w:tcW w:type="dxa" w:w="3216"/>
          </w:tcPr>
          <w:p>
            <w:r>
              <w:t>100%</w:t>
            </w:r>
          </w:p>
        </w:tc>
      </w:tr>
      <w:tr>
        <w:tc>
          <w:tcPr>
            <w:tcW w:type="dxa" w:w="3216"/>
          </w:tcPr>
          <w:p>
            <w:r>
              <w:t>§6418 election</w:t>
            </w:r>
          </w:p>
        </w:tc>
        <w:tc>
          <w:tcPr>
            <w:tcW w:type="dxa" w:w="3216"/>
          </w:tcPr>
          <w:p>
            <w:r>
              <w:t>Not made</w:t>
            </w:r>
          </w:p>
        </w:tc>
        <w:tc>
          <w:tcPr>
            <w:tcW w:type="dxa" w:w="3216"/>
          </w:tcPr>
          <w:p>
            <w:r>
              <w:t>Not made</w:t>
            </w:r>
          </w:p>
        </w:tc>
      </w:tr>
      <w:tr>
        <w:tc>
          <w:tcPr>
            <w:tcW w:type="dxa" w:w="3216"/>
          </w:tcPr>
          <w:p>
            <w:r>
              <w:t>Recapture insurance (premium)</w:t>
            </w:r>
          </w:p>
        </w:tc>
        <w:tc>
          <w:tcPr>
            <w:tcW w:type="dxa" w:w="3216"/>
          </w:tcPr>
          <w:p>
            <w:r>
              <w:t>~$1.5M (4¢ × ~$37.65M Class A ITC)</w:t>
            </w:r>
          </w:p>
        </w:tc>
        <w:tc>
          <w:tcPr>
            <w:tcW w:type="dxa" w:w="3216"/>
          </w:tcPr>
          <w:p>
            <w:r>
              <w:t>~$7.5M (4¢ × ~$188M Class A ITC)</w:t>
            </w:r>
          </w:p>
        </w:tc>
      </w:tr>
      <w:tr>
        <w:tc>
          <w:tcPr>
            <w:tcW w:type="dxa" w:w="3216"/>
          </w:tcPr>
          <w:p>
            <w:r>
              <w:t>Sponsor indemnities (Tax)</w:t>
            </w:r>
          </w:p>
        </w:tc>
        <w:tc>
          <w:tcPr>
            <w:tcW w:type="dxa" w:w="3216"/>
          </w:tcPr>
          <w:p>
            <w:r>
              <w:t>Uncapped — PWA, FEOC, §704(b), recapture</w:t>
            </w:r>
          </w:p>
        </w:tc>
        <w:tc>
          <w:tcPr>
            <w:tcW w:type="dxa" w:w="3216"/>
          </w:tcPr>
          <w:p>
            <w:r>
              <w:t>Uncapped — PWA, FEOC, §704(b), recapture</w:t>
            </w:r>
          </w:p>
        </w:tc>
      </w:tr>
      <w:tr>
        <w:tc>
          <w:tcPr>
            <w:tcW w:type="dxa" w:w="3216"/>
          </w:tcPr>
          <w:p>
            <w:r>
              <w:t>R&amp;W cap (non-Tax indemnities)</w:t>
            </w:r>
          </w:p>
        </w:tc>
        <w:tc>
          <w:tcPr>
            <w:tcW w:type="dxa" w:w="3216"/>
          </w:tcPr>
          <w:p>
            <w:r>
              <w:t>[15%] of subscription = [$0.94M]</w:t>
            </w:r>
          </w:p>
        </w:tc>
        <w:tc>
          <w:tcPr>
            <w:tcW w:type="dxa" w:w="3216"/>
          </w:tcPr>
          <w:p>
            <w:r>
              <w:t>[15%] of subscription = [$4.68M]</w:t>
            </w:r>
          </w:p>
        </w:tc>
      </w:tr>
      <w:tr>
        <w:tc>
          <w:tcPr>
            <w:tcW w:type="dxa" w:w="3216"/>
          </w:tcPr>
          <w:p>
            <w:r>
              <w:t>R&amp;W survival</w:t>
            </w:r>
          </w:p>
        </w:tc>
        <w:tc>
          <w:tcPr>
            <w:tcW w:type="dxa" w:w="3216"/>
          </w:tcPr>
          <w:p>
            <w:r>
              <w:t>[18 months]</w:t>
            </w:r>
          </w:p>
        </w:tc>
        <w:tc>
          <w:tcPr>
            <w:tcW w:type="dxa" w:w="3216"/>
          </w:tcPr>
          <w:p>
            <w:r>
              <w:t>[18 months]</w:t>
            </w:r>
          </w:p>
        </w:tc>
      </w:tr>
    </w:tbl>
    <w:p/>
    <w:p>
      <w:pPr>
        <w:pStyle w:val="Heading1"/>
      </w:pPr>
      <w:r>
        <w:rPr>
          <w:b/>
        </w:rPr>
        <w:t>Intentional Deltas (No Action Required)</w:t>
      </w:r>
    </w:p>
    <w:p>
      <w:pPr>
        <w:pStyle w:val="Heading2"/>
      </w:pPr>
      <w:r>
        <w:rPr>
          <w:b/>
        </w:rPr>
        <w:t>1. Scope and subscription size</w:t>
      </w:r>
    </w:p>
    <w:p>
      <w:pPr>
        <w:spacing w:after="120"/>
        <w:jc w:val="both"/>
      </w:pPr>
      <w:r>
        <w:t>DSE’s investment is a single-vintage commitment (SPE 2); EastWest’s is a 5-vintage commitment across the full Phase-1 tranche. The proportional capital and tax economics are identical at the per-vintage level. This is a sizing difference, not a structural difference.</w:t>
      </w:r>
    </w:p>
    <w:p>
      <w:pPr>
        <w:pStyle w:val="Heading2"/>
      </w:pPr>
      <w:r>
        <w:rPr>
          <w:b/>
        </w:rPr>
        <w:t>2. Recapture insurance premium</w:t>
      </w:r>
    </w:p>
    <w:p>
      <w:pPr>
        <w:spacing w:after="120"/>
        <w:jc w:val="both"/>
      </w:pPr>
      <w:r>
        <w:t>Both deals use 4¢/$ recapture insurance, scaled proportionally to Class A §48E credit face. No consistency issue.</w:t>
      </w:r>
    </w:p>
    <w:p>
      <w:pPr>
        <w:pStyle w:val="Heading2"/>
      </w:pPr>
      <w:r>
        <w:rPr>
          <w:b/>
        </w:rPr>
        <w:t>3. R&amp;W indemnity cap (dollar amount)</w:t>
      </w:r>
    </w:p>
    <w:p>
      <w:pPr>
        <w:spacing w:after="120"/>
        <w:jc w:val="both"/>
      </w:pPr>
      <w:r>
        <w:t>Both deals use the same percentage cap (15% of subscription amount). The dollar caps differ because the subscriptions differ — this is correct proportional treatment.</w:t>
      </w:r>
    </w:p>
    <w:p>
      <w:pPr>
        <w:pStyle w:val="Heading1"/>
      </w:pPr>
      <w:r>
        <w:rPr>
          <w:b/>
        </w:rPr>
        <w:t>Structural Deltas Requiring Attention</w:t>
      </w:r>
    </w:p>
    <w:p>
      <w:pPr>
        <w:pStyle w:val="Heading2"/>
      </w:pPr>
      <w:r>
        <w:rPr>
          <w:b/>
        </w:rPr>
        <w:t>A. Sponsor Class B capital commitment per vintage</w:t>
      </w:r>
    </w:p>
    <w:p>
      <w:pPr>
        <w:spacing w:after="120"/>
        <w:jc w:val="both"/>
      </w:pPr>
      <w:r>
        <w:t>DSE’s structure assumes EDGE contributes ~$1.56M as Class B Member to SPE 2. EastWest’s structure assumes EDGE contributes ~$1.56M × 5 = ~$7.8M across all 5 vintages. EDGE must confirm it has — or can raise — the aggregate ~$7.8M of sponsor capital across both deals before signing definitive agreements. If sponsor capital is constrained, either (a) the deals must be sized down proportionally, or (b) one deal must close first and the other resized.</w:t>
      </w:r>
    </w:p>
    <w:p>
      <w:pPr>
        <w:spacing w:after="120"/>
        <w:jc w:val="both"/>
      </w:pPr>
      <w:r>
        <w:rPr>
          <w:b/>
          <w:i/>
        </w:rPr>
        <w:t>ACTION: Confirm total Class B capital availability before counter-signing either definitive agreement.</w:t>
      </w:r>
    </w:p>
    <w:p>
      <w:pPr>
        <w:pStyle w:val="Heading2"/>
      </w:pPr>
      <w:r>
        <w:rPr>
          <w:b/>
        </w:rPr>
        <w:t>B. Most-Favored-Nation (MFN) risk</w:t>
      </w:r>
    </w:p>
    <w:p>
      <w:pPr>
        <w:spacing w:after="120"/>
        <w:jc w:val="both"/>
      </w:pPr>
      <w:r>
        <w:t>If DSE and EastWest receive different economic terms at the deal level (e.g., different management fees, different R&amp;W caps in absolute %, different definitions of After-Tax IRR), the later-closing investor could invoke an MFN provision (if one is negotiated) to demand the earlier investor’s better terms. Mitigations:</w:t>
      </w:r>
    </w:p>
    <w:p>
      <w:pPr>
        <w:spacing w:after="120"/>
        <w:jc w:val="both"/>
      </w:pPr>
      <w:r>
        <w:t>1. Negotiate term-by-term parity in this memo BEFORE signing either definitive agreement.</w:t>
        <w:br/>
        <w:t>2. If structural divergence is unavoidable (e.g., one investor needs a longer survival on R&amp;W), explicitly exclude that term from any MFN clause.</w:t>
        <w:br/>
        <w:t>3. Document the term-parity rationale in writing so that EDGE has a defensible record if MFN is later invoked.</w:t>
      </w:r>
    </w:p>
    <w:p>
      <w:pPr>
        <w:pStyle w:val="Heading2"/>
      </w:pPr>
      <w:r>
        <w:rPr>
          <w:b/>
        </w:rPr>
        <w:t>C. Closing sequence</w:t>
      </w:r>
    </w:p>
    <w:p>
      <w:pPr>
        <w:spacing w:after="120"/>
        <w:jc w:val="both"/>
      </w:pPr>
      <w:r>
        <w:t>Whichever investor closes first will set practical precedent for the second. Key considerations:</w:t>
      </w:r>
    </w:p>
    <w:p>
      <w:pPr>
        <w:spacing w:after="120"/>
        <w:jc w:val="both"/>
      </w:pPr>
      <w:r>
        <w:t>1. The LLC OpAg form used for SPE 2 will become the template for SPE 1, SPE 3, SPE 4, SPE 5 — material deviation in those documents from the SPE 2 OpAg could create §704(b) substantial-economic-effect risk.</w:t>
        <w:br/>
        <w:t>2. The tax opinion structure (currently pending from outside counsel) will need to support BOTH transactions. EDGE should confirm with outside counsel that a single structural opinion can cover the full Phase-1 deployment (with vintage-by-vintage facts updated), rather than ordering separate opinions.</w:t>
        <w:br/>
        <w:t>3. The Aon recapture insurance program should be structured as one master policy with vintage-level sub-limits, rather than separate policies — administratively simpler and more cost-efficient.</w:t>
      </w:r>
    </w:p>
    <w:p>
      <w:pPr>
        <w:pStyle w:val="Heading2"/>
      </w:pPr>
      <w:r>
        <w:rPr>
          <w:b/>
        </w:rPr>
        <w:t>D. Sponsor indemnity tail concurrency</w:t>
      </w:r>
    </w:p>
    <w:p>
      <w:pPr>
        <w:spacing w:after="120"/>
        <w:jc w:val="both"/>
      </w:pPr>
      <w:r>
        <w:t>Both deals have a 5-7 year sponsor tax-indemnity tail. If DSE closes in [Q3 2026] for SPE 2 and EastWest closes the 5 vintages serially Q3 2026 through Q3 2027, EDGE’s indemnity exposure runs concurrently with potentially overlapping audit windows. Recommend EDGE’s tax-indemnity reserve calculation (if any) accounts for the cumulative — not peak — Class A §48E Credit face value at risk.</w:t>
      </w:r>
    </w:p>
    <w:p>
      <w:pPr>
        <w:pStyle w:val="Heading2"/>
      </w:pPr>
      <w:r>
        <w:rPr>
          <w:b/>
        </w:rPr>
        <w:t>E. Tax opinion form</w:t>
      </w:r>
    </w:p>
    <w:p>
      <w:pPr>
        <w:spacing w:after="120"/>
        <w:jc w:val="both"/>
      </w:pPr>
      <w:r>
        <w:t>Both deals require an outside-tax-counsel opinion at the “should” level prior to closing. To avoid duplicative opinion costs, EDGE should engage one tax counsel to issue a single base structural opinion covering the partnership-flip mechanics, with vintage-level supplemental reliance letters. Note: the deck framing for EastWest was “opinion to be finalized upon structure agreement with EastWest Bank; supplemental opinion available from Akin Gump or DLA Piper if required.” The same language should be carried into DSE’s Exhibit B.</w:t>
      </w:r>
    </w:p>
    <w:p>
      <w:pPr>
        <w:pStyle w:val="Heading1"/>
      </w:pPr>
      <w:r>
        <w:rPr>
          <w:b/>
        </w:rPr>
        <w:t>Open Items / Decisions Required Before Definitive Execution</w:t>
      </w:r>
    </w:p>
    <w:p>
      <w:pPr>
        <w:spacing w:after="120"/>
        <w:jc w:val="both"/>
      </w:pPr>
      <w:r>
        <w:t>1. Confirm aggregate Class B capital availability across both deals (~$7.8M EastWest sponsor + ~$1.56M DSE sponsor — but the DSE SPE 2 sponsor capital is part of the EastWest $7.8M if SPE 2 is one of EastWest’s 5 vintages; clarify whether DSE replaces or co-invests alongside EastWest in SPE 2).</w:t>
      </w:r>
    </w:p>
    <w:p>
      <w:pPr>
        <w:spacing w:after="120"/>
        <w:jc w:val="both"/>
      </w:pPr>
      <w:r>
        <w:t>2. CRITICAL: Determine whether SPE 2 is exclusively DSE’s (in which case EastWest’s tranche is 4 vintages, not 5, and the EastWest deck needs updating) OR whether DSE and EastWest co-invest as Class A Members in SPE 2 (in which case the LLC OpAg needs a multi-Class-A waterfall, which would deviate from the standard structure).</w:t>
      </w:r>
    </w:p>
    <w:p>
      <w:pPr>
        <w:spacing w:after="120"/>
        <w:jc w:val="both"/>
      </w:pPr>
      <w:r>
        <w:t>3. Standardize R&amp;W survival, indemnity caps/baskets, management fee, and after-tax IRR computation methodology between the two TEIAs.</w:t>
      </w:r>
    </w:p>
    <w:p>
      <w:pPr>
        <w:spacing w:after="120"/>
        <w:jc w:val="both"/>
      </w:pPr>
      <w:r>
        <w:t>4. Confirm the recapture insurance is structured as one program (Aon master policy) vs. separate policies.</w:t>
      </w:r>
    </w:p>
    <w:p>
      <w:pPr>
        <w:spacing w:after="120"/>
        <w:jc w:val="both"/>
      </w:pPr>
      <w:r>
        <w:t>5. Confirm with outside tax counsel the scope of the base structural opinion.</w:t>
      </w:r>
    </w:p>
    <w:p>
      <w:pPr>
        <w:pStyle w:val="Heading1"/>
      </w:pPr>
      <w:r>
        <w:rPr>
          <w:b/>
        </w:rPr>
        <w:t>Recommended Actions</w:t>
      </w:r>
    </w:p>
    <w:p>
      <w:pPr>
        <w:spacing w:after="120"/>
        <w:jc w:val="both"/>
      </w:pPr>
      <w:r>
        <w:t>1. Hold a structuring meeting (EDGE + DSE + EastWest counsel) within 2 weeks of receipt of this memo to align on whether DSE and EastWest are co-investing in SPE 2 or whether SPE 2 is carved out of EastWest’s tranche. This decision drives every other open item.</w:t>
        <w:br/>
        <w:t>2. After Item 1 is resolved, execute a one-page Term Parity Statement signed by EDGE confirming the identical structural terms to both DSE and EastWest. Use as a shield against MFN claims.</w:t>
        <w:br/>
        <w:t>3. Engage one tax-counsel firm for the base structural opinion; budget for vintage-level supplemental reliance letters.</w:t>
        <w:br/>
        <w:t>4. Engage Aon for a master recapture-insurance program covering all 5 vintage SPEs.</w:t>
        <w:br/>
        <w:t>5. Use the LLC OpAg drafted for SPE 2 as the template for SPE 1, SPE 3, SPE 4, and SPE 5, with vintage-specific schedules only.</w:t>
      </w:r>
    </w:p>
    <w:p>
      <w:pPr>
        <w:spacing w:after="120"/>
        <w:jc w:val="both"/>
      </w:pPr>
      <w:r>
        <w:rPr>
          <w:i/>
        </w:rPr>
        <w:t>— End of Memo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