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AMENDED AND RESTATED</w:t>
      </w:r>
    </w:p>
    <w:p>
      <w:pPr>
        <w:jc w:val="center"/>
      </w:pPr>
      <w:r>
        <w:rPr>
          <w:b/>
          <w:sz w:val="28"/>
        </w:rPr>
        <w:t>LIMITED LIABILITY COMPANY OPERATING AGREEMENT</w:t>
      </w:r>
    </w:p>
    <w:p>
      <w:pPr>
        <w:jc w:val="center"/>
      </w:pPr>
      <w:r>
        <w:rPr>
          <w:b/>
          <w:sz w:val="28"/>
        </w:rPr>
        <w:t>OF</w:t>
      </w:r>
    </w:p>
    <w:p>
      <w:pPr>
        <w:jc w:val="center"/>
      </w:pPr>
      <w:r>
        <w:rPr>
          <w:b/>
          <w:sz w:val="28"/>
        </w:rPr>
        <w:t>EDGE SPE 2, LLC</w:t>
      </w:r>
    </w:p>
    <w:p>
      <w:pPr>
        <w:jc w:val="center"/>
      </w:pPr>
      <w:r>
        <w:rPr>
          <w:i/>
          <w:sz w:val="22"/>
        </w:rPr>
        <w:t>(A Delaware Limited Liability Company — Partnership-Flip Tax-Equity Structure)</w:t>
      </w:r>
    </w:p>
    <w:p/>
    <w:p>
      <w:pPr>
        <w:spacing w:after="120"/>
        <w:jc w:val="both"/>
      </w:pPr>
      <w:r>
        <w:t>This Amended and Restated Limited Liability Company Operating Agreement (this “Agreement”) of EDGE SPE 2, LLC, a Delaware limited liability company (the “Company”), is entered into and effective as of _______________ (the “Effective Date”), by and among the Members signatory hereto (each a “Member” and collectively, the “Members”). This Agreement amends and restates in its entirety that certain initial Limited Liability Company Operating Agreement of the Company dated _______________.</w:t>
      </w:r>
    </w:p>
    <w:p/>
    <w:p>
      <w:pPr>
        <w:pStyle w:val="Heading1"/>
      </w:pPr>
      <w:r>
        <w:rPr>
          <w:b/>
        </w:rPr>
        <w:t>ARTICLE I — DEFINITIONS</w:t>
      </w:r>
    </w:p>
    <w:p>
      <w:pPr>
        <w:spacing w:after="120"/>
        <w:jc w:val="both"/>
      </w:pPr>
      <w:r>
        <w:t>Capitalized terms used herein shall have the meanings set forth in this Article I, or as elsewhere defined in this Agreement. Capitalized terms used but not defined herein have the meanings ascribed in the Tax Equity Investment Agreement.</w:t>
      </w:r>
    </w:p>
    <w:p>
      <w:pPr>
        <w:spacing w:after="80"/>
        <w:jc w:val="both"/>
      </w:pPr>
      <w:r>
        <w:rPr>
          <w:b/>
        </w:rPr>
        <w:t>“Act”</w:t>
      </w:r>
      <w:r>
        <w:t xml:space="preserve"> the Delaware Limited Liability Company Act, 6 Del. C. §18-101 et seq., as amended.</w:t>
      </w:r>
    </w:p>
    <w:p>
      <w:pPr>
        <w:spacing w:after="80"/>
        <w:jc w:val="both"/>
      </w:pPr>
      <w:r>
        <w:rPr>
          <w:b/>
        </w:rPr>
        <w:t>“Adjusted Capital Account Deficit”</w:t>
      </w:r>
      <w:r>
        <w:t xml:space="preserve"> with respect to any Member, the deficit balance in such Member’s Capital Account at the end of the relevant Allocation Period, after (a) crediting such Capital Account with the amounts the Member is deemed obligated to restore under Treas. Reg. §§1.704-1(b)(2)(ii)(c), 1.704-2(g)(1), and 1.704-2(i)(5), and (b) debiting such Capital Account with the items described in Treas. Reg. §1.704-1(b)(2)(ii)(d)(4)-(6).</w:t>
      </w:r>
    </w:p>
    <w:p>
      <w:pPr>
        <w:spacing w:after="80"/>
        <w:jc w:val="both"/>
      </w:pPr>
      <w:r>
        <w:rPr>
          <w:b/>
        </w:rPr>
        <w:t>“Allocation Period”</w:t>
      </w:r>
      <w:r>
        <w:t xml:space="preserve"> (a) each calendar month or other period for which the Company reports income, gain, loss, deduction, and credit, and (b) such other period as the Manager determines is necessary or appropriate.</w:t>
      </w:r>
    </w:p>
    <w:p>
      <w:pPr>
        <w:spacing w:after="80"/>
        <w:jc w:val="both"/>
      </w:pPr>
      <w:r>
        <w:rPr>
          <w:b/>
        </w:rPr>
        <w:t>“Capital Account”</w:t>
      </w:r>
      <w:r>
        <w:t xml:space="preserve"> a separate capital account maintained for each Member in accordance with Article III and Treas. Reg. §1.704-1(b)(2)(iv).</w:t>
      </w:r>
    </w:p>
    <w:p>
      <w:pPr>
        <w:spacing w:after="80"/>
        <w:jc w:val="both"/>
      </w:pPr>
      <w:r>
        <w:rPr>
          <w:b/>
        </w:rPr>
        <w:t>“Capital Contribution”</w:t>
      </w:r>
      <w:r>
        <w:t xml:space="preserve"> with respect to any Member, any contribution of cash or other property to the Company in respect of such Member’s Membership Interest.</w:t>
      </w:r>
    </w:p>
    <w:p>
      <w:pPr>
        <w:spacing w:after="80"/>
        <w:jc w:val="both"/>
      </w:pPr>
      <w:r>
        <w:rPr>
          <w:b/>
        </w:rPr>
        <w:t>“Class A Member”</w:t>
      </w:r>
      <w:r>
        <w:t xml:space="preserve"> DIRECT SUPPLY EQUITY, LLC and any Permitted Transferee thereof in respect of the Class A Interest.</w:t>
      </w:r>
    </w:p>
    <w:p>
      <w:pPr>
        <w:spacing w:after="80"/>
        <w:jc w:val="both"/>
      </w:pPr>
      <w:r>
        <w:rPr>
          <w:b/>
        </w:rPr>
        <w:t>“Class A Interest”</w:t>
      </w:r>
      <w:r>
        <w:t xml:space="preserve"> the Membership Interest designated as Class A, with the rights, preferences, allocations, and distributions set forth herein.</w:t>
      </w:r>
    </w:p>
    <w:p>
      <w:pPr>
        <w:spacing w:after="80"/>
        <w:jc w:val="both"/>
      </w:pPr>
      <w:r>
        <w:rPr>
          <w:b/>
        </w:rPr>
        <w:t>“Class B Member”</w:t>
      </w:r>
      <w:r>
        <w:t xml:space="preserve"> EDGE ENERGY / MICROGRID ENERGY LLC (or its designated affiliate) and any Permitted Transferee thereof in respect of the Class B Interest.</w:t>
      </w:r>
    </w:p>
    <w:p>
      <w:pPr>
        <w:spacing w:after="80"/>
        <w:jc w:val="both"/>
      </w:pPr>
      <w:r>
        <w:rPr>
          <w:b/>
        </w:rPr>
        <w:t>“Class B Interest”</w:t>
      </w:r>
      <w:r>
        <w:t xml:space="preserve"> the Membership Interest designated as Class B, with the rights, preferences, allocations, and distributions set forth herein.</w:t>
      </w:r>
    </w:p>
    <w:p>
      <w:pPr>
        <w:spacing w:after="80"/>
        <w:jc w:val="both"/>
      </w:pPr>
      <w:r>
        <w:rPr>
          <w:b/>
        </w:rPr>
        <w:t>“Code”</w:t>
      </w:r>
      <w:r>
        <w:t xml:space="preserve"> the Internal Revenue Code of 1986, as amended, and the Treasury Regulations promulgated thereunder.</w:t>
      </w:r>
    </w:p>
    <w:p>
      <w:pPr>
        <w:spacing w:after="80"/>
        <w:jc w:val="both"/>
      </w:pPr>
      <w:r>
        <w:rPr>
          <w:b/>
        </w:rPr>
        <w:t>“Distributable Cash”</w:t>
      </w:r>
      <w:r>
        <w:t xml:space="preserve"> for any Distribution Date, all cash of the Company available for distribution after (a) payment of operating expenses, (b) payment of debt service and reserves required by the Senior Project Debt facility, (c) funding of working-capital and reserve requirements established by the Manager in good faith, and (d) any other reservations required by this Agreement.</w:t>
      </w:r>
    </w:p>
    <w:p>
      <w:pPr>
        <w:spacing w:after="80"/>
        <w:jc w:val="both"/>
      </w:pPr>
      <w:r>
        <w:rPr>
          <w:b/>
        </w:rPr>
        <w:t>“Distribution Date”</w:t>
      </w:r>
      <w:r>
        <w:t xml:space="preserve"> each Quarterly Distribution Date specified in Article V.</w:t>
      </w:r>
    </w:p>
    <w:p>
      <w:pPr>
        <w:spacing w:after="80"/>
        <w:jc w:val="both"/>
      </w:pPr>
      <w:r>
        <w:rPr>
          <w:b/>
        </w:rPr>
        <w:t>“Flip Date”</w:t>
      </w:r>
      <w:r>
        <w:t xml:space="preserve"> the first Distribution Date occurring on or after the later of (a) the date on which the Class A Member has achieved the Target After-Tax IRR (the “Yield-Based Flip”), and (b) the 60-month statutory minimum hold required by Rev. Proc. 2007-65 §4.06 (the “Time-Based Floor”).</w:t>
      </w:r>
    </w:p>
    <w:p>
      <w:pPr>
        <w:spacing w:after="80"/>
        <w:jc w:val="both"/>
      </w:pPr>
      <w:r>
        <w:rPr>
          <w:b/>
        </w:rPr>
        <w:t>“Fundamental Action”</w:t>
      </w:r>
      <w:r>
        <w:t xml:space="preserve"> each of the actions set forth in Section 6.4 requiring Class A Member consent.</w:t>
      </w:r>
    </w:p>
    <w:p>
      <w:pPr>
        <w:spacing w:after="80"/>
        <w:jc w:val="both"/>
      </w:pPr>
      <w:r>
        <w:rPr>
          <w:b/>
        </w:rPr>
        <w:t>“Manager”</w:t>
      </w:r>
      <w:r>
        <w:t xml:space="preserve"> EDGE ENERGY / MICROGRID ENERGY LLC, in its capacity as the Manager of the Company, and any successor designated in accordance with Section 6.2.</w:t>
      </w:r>
    </w:p>
    <w:p>
      <w:pPr>
        <w:spacing w:after="80"/>
        <w:jc w:val="both"/>
      </w:pPr>
      <w:r>
        <w:rPr>
          <w:b/>
        </w:rPr>
        <w:t>“Member”</w:t>
      </w:r>
      <w:r>
        <w:t xml:space="preserve"> the Class A Member or the Class B Member, in such capacity.</w:t>
      </w:r>
    </w:p>
    <w:p>
      <w:pPr>
        <w:spacing w:after="80"/>
        <w:jc w:val="both"/>
      </w:pPr>
      <w:r>
        <w:rPr>
          <w:b/>
        </w:rPr>
        <w:t>“Membership Interest”</w:t>
      </w:r>
      <w:r>
        <w:t xml:space="preserve"> a Class A Interest or Class B Interest, as applicable.</w:t>
      </w:r>
    </w:p>
    <w:p>
      <w:pPr>
        <w:spacing w:after="80"/>
        <w:jc w:val="both"/>
      </w:pPr>
      <w:r>
        <w:rPr>
          <w:b/>
        </w:rPr>
        <w:t>“Minimum Gain”</w:t>
      </w:r>
      <w:r>
        <w:t xml:space="preserve"> “partnership minimum gain” as defined in Treas. Reg. §1.704-2(b)(2) and (d).</w:t>
      </w:r>
    </w:p>
    <w:p>
      <w:pPr>
        <w:spacing w:after="80"/>
        <w:jc w:val="both"/>
      </w:pPr>
      <w:r>
        <w:rPr>
          <w:b/>
        </w:rPr>
        <w:t>“Net Income”</w:t>
      </w:r>
      <w:r>
        <w:t xml:space="preserve"> for each Allocation Period, the excess (if any) of items of income and gain over items of loss and deduction (other than items separately allocated under Sections 4.4 and 4.5), as determined under the Capital Account maintenance rules of Treas. Reg. §1.704-1(b).</w:t>
      </w:r>
    </w:p>
    <w:p>
      <w:pPr>
        <w:spacing w:after="80"/>
        <w:jc w:val="both"/>
      </w:pPr>
      <w:r>
        <w:rPr>
          <w:b/>
        </w:rPr>
        <w:t>“Net Loss”</w:t>
      </w:r>
      <w:r>
        <w:t xml:space="preserve"> for each Allocation Period, the excess (if any) of items of loss and deduction over items of income and gain (other than items separately allocated under Sections 4.4 and 4.5), as determined under the Capital Account maintenance rules of Treas. Reg. §1.704-1(b).</w:t>
      </w:r>
    </w:p>
    <w:p>
      <w:pPr>
        <w:spacing w:after="80"/>
        <w:jc w:val="both"/>
      </w:pPr>
      <w:r>
        <w:rPr>
          <w:b/>
        </w:rPr>
        <w:t>“Nonrecourse Deductions”</w:t>
      </w:r>
      <w:r>
        <w:t xml:space="preserve"> as defined in Treas. Reg. §1.704-2(b)(1) and (c).</w:t>
      </w:r>
    </w:p>
    <w:p>
      <w:pPr>
        <w:spacing w:after="80"/>
        <w:jc w:val="both"/>
      </w:pPr>
      <w:r>
        <w:rPr>
          <w:b/>
        </w:rPr>
        <w:t>“Partner Nonrecourse Debt”</w:t>
      </w:r>
      <w:r>
        <w:t xml:space="preserve"> as defined in Treas. Reg. §1.704-2(b)(4).</w:t>
      </w:r>
    </w:p>
    <w:p>
      <w:pPr>
        <w:spacing w:after="80"/>
        <w:jc w:val="both"/>
      </w:pPr>
      <w:r>
        <w:rPr>
          <w:b/>
        </w:rPr>
        <w:t>“Partner Nonrecourse Deductions”</w:t>
      </w:r>
      <w:r>
        <w:t xml:space="preserve"> as defined in Treas. Reg. §1.704-2(i)(2).</w:t>
      </w:r>
    </w:p>
    <w:p>
      <w:pPr>
        <w:spacing w:after="80"/>
        <w:jc w:val="both"/>
      </w:pPr>
      <w:r>
        <w:rPr>
          <w:b/>
        </w:rPr>
        <w:t>“Permitted Transferee”</w:t>
      </w:r>
      <w:r>
        <w:t xml:space="preserve"> (a) for the Class A Member, any wholly-owned affiliate of DSE that qualifies as a tax-equity investor and that has executed a joinder hereto; and (b) for the Class B Member, any wholly-owned affiliate of EDGE.</w:t>
      </w:r>
    </w:p>
    <w:p>
      <w:pPr>
        <w:spacing w:after="80"/>
        <w:jc w:val="both"/>
      </w:pPr>
      <w:r>
        <w:rPr>
          <w:b/>
        </w:rPr>
        <w:t>“Qualified Income Offset”</w:t>
      </w:r>
      <w:r>
        <w:t xml:space="preserve"> the provision set forth in Section 4.4(b).</w:t>
      </w:r>
    </w:p>
    <w:p>
      <w:pPr>
        <w:spacing w:after="80"/>
        <w:jc w:val="both"/>
      </w:pPr>
      <w:r>
        <w:rPr>
          <w:b/>
        </w:rPr>
        <w:t>“Recapture Event”</w:t>
      </w:r>
      <w:r>
        <w:t xml:space="preserve"> as defined in the Tax Equity Investment Agreement.</w:t>
      </w:r>
    </w:p>
    <w:p>
      <w:pPr>
        <w:spacing w:after="80"/>
        <w:jc w:val="both"/>
      </w:pPr>
      <w:r>
        <w:rPr>
          <w:b/>
        </w:rPr>
        <w:t>“Rev. Proc. 2007-65”</w:t>
      </w:r>
      <w:r>
        <w:t xml:space="preserve"> Revenue Procedure 2007-65, 2007-2 C.B. 967, as modified by Rev. Proc. 2014-12, and as supplemented by IRS guidance applicable to §48E partnership-flip allocations.</w:t>
      </w:r>
    </w:p>
    <w:p>
      <w:pPr>
        <w:spacing w:after="80"/>
        <w:jc w:val="both"/>
      </w:pPr>
      <w:r>
        <w:rPr>
          <w:b/>
        </w:rPr>
        <w:t>“Sharing Percentage”</w:t>
      </w:r>
      <w:r>
        <w:t xml:space="preserve"> with respect to a Member and a category of Profits, Losses, or other items, the percentage set forth in Article IV.</w:t>
      </w:r>
    </w:p>
    <w:p>
      <w:pPr>
        <w:spacing w:after="80"/>
        <w:jc w:val="both"/>
      </w:pPr>
      <w:r>
        <w:rPr>
          <w:b/>
        </w:rPr>
        <w:t>“Target After-Tax IRR”</w:t>
      </w:r>
      <w:r>
        <w:t xml:space="preserve"> 8.4% per annum, compounded monthly, computed for the Class A Member on an after-tax basis pursuant to Exhibit A.</w:t>
      </w:r>
    </w:p>
    <w:p>
      <w:pPr>
        <w:spacing w:after="80"/>
        <w:jc w:val="both"/>
      </w:pPr>
      <w:r>
        <w:rPr>
          <w:b/>
        </w:rPr>
        <w:t>“Tax Equity Investment Agreement”</w:t>
      </w:r>
      <w:r>
        <w:t xml:space="preserve"> or “TEIA,” that certain Tax Equity Investment Agreement dated as of the Effective Date between the Class A Member, the Class B Member, and the Company.</w:t>
      </w:r>
    </w:p>
    <w:p>
      <w:pPr>
        <w:spacing w:after="80"/>
        <w:jc w:val="both"/>
      </w:pPr>
      <w:r>
        <w:rPr>
          <w:b/>
        </w:rPr>
        <w:t>“Tax Matters Partner / Partnership Representative”</w:t>
      </w:r>
      <w:r>
        <w:t xml:space="preserve"> the Class B Member, in its capacity as the Partnership Representative under §6223 of the Code.</w:t>
      </w:r>
    </w:p>
    <w:p>
      <w:pPr>
        <w:spacing w:after="80"/>
        <w:jc w:val="both"/>
      </w:pPr>
      <w:r>
        <w:rPr>
          <w:b/>
        </w:rPr>
        <w:t>“Time-Based Floor”</w:t>
      </w:r>
      <w:r>
        <w:t xml:space="preserve"> as defined in the definition of Flip Date above.</w:t>
      </w:r>
    </w:p>
    <w:p>
      <w:pPr>
        <w:spacing w:after="80"/>
        <w:jc w:val="both"/>
      </w:pPr>
      <w:r>
        <w:rPr>
          <w:b/>
        </w:rPr>
        <w:t>“Yield-Based Flip”</w:t>
      </w:r>
      <w:r>
        <w:t xml:space="preserve"> as defined in the definition of Flip Date above.</w:t>
      </w:r>
    </w:p>
    <w:p>
      <w:pPr>
        <w:pStyle w:val="Heading1"/>
      </w:pPr>
      <w:r>
        <w:rPr>
          <w:b/>
        </w:rPr>
        <w:t>ARTICLE II — FORMATION; NAME; PURPOSE</w:t>
      </w:r>
    </w:p>
    <w:p>
      <w:pPr>
        <w:pStyle w:val="Heading2"/>
      </w:pPr>
      <w:r>
        <w:rPr>
          <w:b/>
        </w:rPr>
        <w:t>2.1 Formation</w:t>
      </w:r>
    </w:p>
    <w:p>
      <w:pPr>
        <w:spacing w:after="120"/>
        <w:jc w:val="both"/>
      </w:pPr>
      <w:r>
        <w:t>The Company was formed as a limited liability company on _______________ by the filing of a Certificate of Formation with the Delaware Secretary of State pursuant to the Act.</w:t>
      </w:r>
    </w:p>
    <w:p>
      <w:pPr>
        <w:pStyle w:val="Heading2"/>
      </w:pPr>
      <w:r>
        <w:rPr>
          <w:b/>
        </w:rPr>
        <w:t>2.2 Name</w:t>
      </w:r>
    </w:p>
    <w:p>
      <w:pPr>
        <w:spacing w:after="120"/>
        <w:jc w:val="both"/>
      </w:pPr>
      <w:r>
        <w:t>The name of the Company is “EDGE SPE 2, LLC.”</w:t>
      </w:r>
    </w:p>
    <w:p>
      <w:pPr>
        <w:pStyle w:val="Heading2"/>
      </w:pPr>
      <w:r>
        <w:rPr>
          <w:b/>
        </w:rPr>
        <w:t>2.3 Principal Place of Business; Registered Office</w:t>
      </w:r>
    </w:p>
    <w:p>
      <w:pPr>
        <w:spacing w:after="120"/>
        <w:jc w:val="both"/>
      </w:pPr>
      <w:r>
        <w:t>The principal place of business of the Company is __________________, or such other location as the Manager may designate. The registered office of the Company in Delaware is __________________, and the registered agent at such office is __________________.</w:t>
      </w:r>
    </w:p>
    <w:p>
      <w:pPr>
        <w:pStyle w:val="Heading2"/>
      </w:pPr>
      <w:r>
        <w:rPr>
          <w:b/>
        </w:rPr>
        <w:t>2.4 Purpose</w:t>
      </w:r>
    </w:p>
    <w:p>
      <w:pPr>
        <w:spacing w:after="120"/>
        <w:jc w:val="both"/>
      </w:pPr>
      <w:r>
        <w:t>The Company is formed for the limited purpose of (a) acquiring, owning, financing, operating, and maintaining approximately 200 residential solar-plus-storage systems and the related Customer Contracts comprising the Vintage 2 tranche of the EDGE distributed solar program (the “Portfolio”), (b) claiming the §48E investment tax credit and MACRS depreciation in respect thereof, (c) entering into and performing the Senior Project Debt facility and the Tax Equity Investment Agreement, and (d) engaging in any other lawful activity necessary or incidental to the foregoing.</w:t>
      </w:r>
    </w:p>
    <w:p>
      <w:pPr>
        <w:pStyle w:val="Heading2"/>
      </w:pPr>
      <w:r>
        <w:rPr>
          <w:b/>
        </w:rPr>
        <w:t>2.5 Term</w:t>
      </w:r>
    </w:p>
    <w:p>
      <w:pPr>
        <w:spacing w:after="120"/>
        <w:jc w:val="both"/>
      </w:pPr>
      <w:r>
        <w:t>The term of the Company commenced on the date of formation and shall continue in perpetuity unless and until the Company is dissolved in accordance with Article IX.</w:t>
      </w:r>
    </w:p>
    <w:p>
      <w:pPr>
        <w:pStyle w:val="Heading2"/>
      </w:pPr>
      <w:r>
        <w:rPr>
          <w:b/>
        </w:rPr>
        <w:t>2.6 Tax Classification</w:t>
      </w:r>
    </w:p>
    <w:p>
      <w:pPr>
        <w:spacing w:after="120"/>
        <w:jc w:val="both"/>
      </w:pPr>
      <w:r>
        <w:t>The Members intend that the Company be classified as a partnership for U.S. federal (and applicable state) income-tax purposes. No Member shall file any election inconsistent with this classification.</w:t>
      </w:r>
    </w:p>
    <w:p>
      <w:pPr>
        <w:pStyle w:val="Heading1"/>
      </w:pPr>
      <w:r>
        <w:rPr>
          <w:b/>
        </w:rPr>
        <w:t>ARTICLE III — MEMBERS; MEMBERSHIP INTERESTS; CAPITAL</w:t>
      </w:r>
    </w:p>
    <w:p>
      <w:pPr>
        <w:pStyle w:val="Heading2"/>
      </w:pPr>
      <w:r>
        <w:rPr>
          <w:b/>
        </w:rPr>
        <w:t>3.1 Members</w:t>
      </w:r>
    </w:p>
    <w:p>
      <w:pPr>
        <w:spacing w:after="120"/>
        <w:jc w:val="both"/>
      </w:pPr>
      <w:r>
        <w:t>The Members of the Company as of the Effective Date are (a) DIRECT SUPPLY EQUITY, LLC, as the Class A Member, and (b) EDGE ENERGY / MICROGRID ENERGY LLC, as the Class B Member.</w:t>
      </w:r>
    </w:p>
    <w:p>
      <w:pPr>
        <w:pStyle w:val="Heading2"/>
      </w:pPr>
      <w:r>
        <w:rPr>
          <w:b/>
        </w:rPr>
        <w:t>3.2 Membership Interests</w:t>
      </w:r>
    </w:p>
    <w:p>
      <w:pPr>
        <w:spacing w:after="120"/>
        <w:jc w:val="both"/>
      </w:pPr>
      <w:r>
        <w:t>The Company shall have two (2) classes of Membership Interests: Class A Interests and Class B Interests. Each Member’s ownership of, and rights with respect to, its Membership Interest are set forth in this Agreement and the TEIA.</w:t>
      </w:r>
    </w:p>
    <w:p>
      <w:pPr>
        <w:pStyle w:val="Heading2"/>
      </w:pPr>
      <w:r>
        <w:rPr>
          <w:b/>
        </w:rPr>
        <w:t>3.3 Capital Contributions</w:t>
      </w:r>
    </w:p>
    <w:p>
      <w:pPr>
        <w:spacing w:after="120"/>
        <w:jc w:val="both"/>
      </w:pPr>
      <w:r>
        <w:t>The Class A Member shall make Capital Contributions in the aggregate Subscription Amount and on the Capital Call schedule set forth in the TEIA and Schedule B thereto. The Class B Member shall make Capital Contributions on the schedule set forth on Schedule 3.3 hereto. No additional Capital Contributions shall be required of any Member except as expressly set forth in this Agreement or the TEIA.</w:t>
      </w:r>
    </w:p>
    <w:p>
      <w:pPr>
        <w:pStyle w:val="Heading2"/>
      </w:pPr>
      <w:r>
        <w:rPr>
          <w:b/>
        </w:rPr>
        <w:t>3.4 Capital Accounts</w:t>
      </w:r>
    </w:p>
    <w:p>
      <w:pPr>
        <w:spacing w:after="120"/>
        <w:jc w:val="both"/>
      </w:pPr>
      <w:r>
        <w:t>A separate Capital Account shall be maintained for each Member in accordance with Treas. Reg. §1.704-1(b)(2)(iv). Each Member’s Capital Account shall be:</w:t>
      </w:r>
    </w:p>
    <w:p>
      <w:pPr>
        <w:spacing w:after="120"/>
        <w:jc w:val="both"/>
      </w:pPr>
      <w:r>
        <w:t>(a) increased by (i) cash and the fair-market value of property contributed by such Member, (ii) allocations of Net Income and items of income or gain, and (iii) the amount of any Company liabilities assumed by such Member; and</w:t>
      </w:r>
    </w:p>
    <w:p>
      <w:pPr>
        <w:spacing w:after="120"/>
        <w:jc w:val="both"/>
      </w:pPr>
      <w:r>
        <w:t>(b) decreased by (i) cash and the fair-market value of property distributed to such Member, (ii) allocations of Net Loss and items of loss or deduction, and (iii) the amount of any liabilities of such Member assumed by the Company,</w:t>
      </w:r>
    </w:p>
    <w:p>
      <w:pPr>
        <w:spacing w:after="120"/>
        <w:jc w:val="both"/>
      </w:pPr>
      <w:r>
        <w:t>in each case as required by Treas. Reg. §1.704-1(b)(2)(iv) and consistent with the §704(c) remedial method elected by the Company.</w:t>
      </w:r>
    </w:p>
    <w:p>
      <w:pPr>
        <w:pStyle w:val="Heading2"/>
      </w:pPr>
      <w:r>
        <w:rPr>
          <w:b/>
        </w:rPr>
        <w:t>3.5 No Withdrawal; No Interest on Capital</w:t>
      </w:r>
    </w:p>
    <w:p>
      <w:pPr>
        <w:spacing w:after="120"/>
        <w:jc w:val="both"/>
      </w:pPr>
      <w:r>
        <w:t>No Member may withdraw any portion of its Capital Account except as expressly provided in this Agreement. No Member shall be entitled to interest on, or compensation for, the use of its Capital Contribution or Capital Account balance.</w:t>
      </w:r>
    </w:p>
    <w:p>
      <w:pPr>
        <w:pStyle w:val="Heading2"/>
      </w:pPr>
      <w:r>
        <w:rPr>
          <w:b/>
        </w:rPr>
        <w:t>3.6 Liquidating Distributions Per Capital Accounts</w:t>
      </w:r>
    </w:p>
    <w:p>
      <w:pPr>
        <w:spacing w:after="120"/>
        <w:jc w:val="both"/>
      </w:pPr>
      <w:r>
        <w:t>Upon liquidation of the Company, distributions of liquidation proceeds shall be made to the Members in accordance with their respective positive Capital Account balances determined after all allocations of Net Income, Net Loss, and other items for the year of liquidation, including any “Capital Account True-Up Allocation” under Section 4.6. This requirement is intended to satisfy Treas. Reg. §1.704-1(b)(2)(ii)(b)(2).</w:t>
      </w:r>
    </w:p>
    <w:p>
      <w:pPr>
        <w:pStyle w:val="Heading1"/>
      </w:pPr>
      <w:r>
        <w:rPr>
          <w:b/>
        </w:rPr>
        <w:t>ARTICLE IV — ALLOCATIONS</w:t>
      </w:r>
    </w:p>
    <w:p>
      <w:pPr>
        <w:pStyle w:val="Heading2"/>
      </w:pPr>
      <w:r>
        <w:rPr>
          <w:b/>
        </w:rPr>
        <w:t>4.1 Sharing Percentages</w:t>
      </w:r>
    </w:p>
    <w:p>
      <w:pPr>
        <w:spacing w:after="120"/>
        <w:jc w:val="both"/>
      </w:pPr>
      <w:r>
        <w:t>Subject to the Regulatory Allocations in Section 4.4, the Sharing Percentages of the Members for each category of Profits, Losses, items of income, gain, loss, deduction, and credit shall be as set forth in the table below:</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Category</w:t>
            </w:r>
          </w:p>
        </w:tc>
        <w:tc>
          <w:tcPr>
            <w:tcW w:type="dxa" w:w="3120"/>
          </w:tcPr>
          <w:p>
            <w:r>
              <w:rPr>
                <w:b/>
              </w:rPr>
              <w:t>Pre-Flip (Class A / Class B)</w:t>
            </w:r>
          </w:p>
        </w:tc>
        <w:tc>
          <w:tcPr>
            <w:tcW w:type="dxa" w:w="3120"/>
          </w:tcPr>
          <w:p>
            <w:r>
              <w:rPr>
                <w:b/>
              </w:rPr>
              <w:t>Post-Flip (Class A / Class B)</w:t>
            </w:r>
          </w:p>
        </w:tc>
      </w:tr>
      <w:tr>
        <w:tc>
          <w:tcPr>
            <w:tcW w:type="dxa" w:w="3120"/>
          </w:tcPr>
          <w:p>
            <w:r>
              <w:t>§48E Credit (allocated under §50)</w:t>
            </w:r>
          </w:p>
        </w:tc>
        <w:tc>
          <w:tcPr>
            <w:tcW w:type="dxa" w:w="3120"/>
          </w:tcPr>
          <w:p>
            <w:r>
              <w:t>99% / 1%</w:t>
            </w:r>
          </w:p>
        </w:tc>
        <w:tc>
          <w:tcPr>
            <w:tcW w:type="dxa" w:w="3120"/>
          </w:tcPr>
          <w:p>
            <w:r>
              <w:t>N/A (one-time event)</w:t>
            </w:r>
          </w:p>
        </w:tc>
      </w:tr>
      <w:tr>
        <w:tc>
          <w:tcPr>
            <w:tcW w:type="dxa" w:w="3120"/>
          </w:tcPr>
          <w:p>
            <w:r>
              <w:t>MACRS depreciation incl. §168(k)</w:t>
            </w:r>
          </w:p>
        </w:tc>
        <w:tc>
          <w:tcPr>
            <w:tcW w:type="dxa" w:w="3120"/>
          </w:tcPr>
          <w:p>
            <w:r>
              <w:t>99% / 1%</w:t>
            </w:r>
          </w:p>
        </w:tc>
        <w:tc>
          <w:tcPr>
            <w:tcW w:type="dxa" w:w="3120"/>
          </w:tcPr>
          <w:p>
            <w:r>
              <w:t>5% / 95%</w:t>
            </w:r>
          </w:p>
        </w:tc>
      </w:tr>
      <w:tr>
        <w:tc>
          <w:tcPr>
            <w:tcW w:type="dxa" w:w="3120"/>
          </w:tcPr>
          <w:p>
            <w:r>
              <w:t>§163(j) interest expense</w:t>
            </w:r>
          </w:p>
        </w:tc>
        <w:tc>
          <w:tcPr>
            <w:tcW w:type="dxa" w:w="3120"/>
          </w:tcPr>
          <w:p>
            <w:r>
              <w:t>99% / 1%</w:t>
            </w:r>
          </w:p>
        </w:tc>
        <w:tc>
          <w:tcPr>
            <w:tcW w:type="dxa" w:w="3120"/>
          </w:tcPr>
          <w:p>
            <w:r>
              <w:t>5% / 95%</w:t>
            </w:r>
          </w:p>
        </w:tc>
      </w:tr>
      <w:tr>
        <w:tc>
          <w:tcPr>
            <w:tcW w:type="dxa" w:w="3120"/>
          </w:tcPr>
          <w:p>
            <w:r>
              <w:t>Operating Net Income / Net Loss</w:t>
            </w:r>
          </w:p>
        </w:tc>
        <w:tc>
          <w:tcPr>
            <w:tcW w:type="dxa" w:w="3120"/>
          </w:tcPr>
          <w:p>
            <w:r>
              <w:t>99% / 1%</w:t>
            </w:r>
          </w:p>
        </w:tc>
        <w:tc>
          <w:tcPr>
            <w:tcW w:type="dxa" w:w="3120"/>
          </w:tcPr>
          <w:p>
            <w:r>
              <w:t>5% / 95%</w:t>
            </w:r>
          </w:p>
        </w:tc>
      </w:tr>
      <w:tr>
        <w:tc>
          <w:tcPr>
            <w:tcW w:type="dxa" w:w="3120"/>
          </w:tcPr>
          <w:p>
            <w:r>
              <w:t>Sponsor management-fee deduction</w:t>
            </w:r>
          </w:p>
        </w:tc>
        <w:tc>
          <w:tcPr>
            <w:tcW w:type="dxa" w:w="3120"/>
          </w:tcPr>
          <w:p>
            <w:r>
              <w:t>99% / 1%</w:t>
            </w:r>
          </w:p>
        </w:tc>
        <w:tc>
          <w:tcPr>
            <w:tcW w:type="dxa" w:w="3120"/>
          </w:tcPr>
          <w:p>
            <w:r>
              <w:t>5% / 95%</w:t>
            </w:r>
          </w:p>
        </w:tc>
      </w:tr>
      <w:tr>
        <w:tc>
          <w:tcPr>
            <w:tcW w:type="dxa" w:w="3120"/>
          </w:tcPr>
          <w:p>
            <w:r>
              <w:t>Cash Distributions of Distributable Cash</w:t>
            </w:r>
          </w:p>
        </w:tc>
        <w:tc>
          <w:tcPr>
            <w:tcW w:type="dxa" w:w="3120"/>
          </w:tcPr>
          <w:p>
            <w:r>
              <w:t>99% / 1%</w:t>
            </w:r>
          </w:p>
        </w:tc>
        <w:tc>
          <w:tcPr>
            <w:tcW w:type="dxa" w:w="3120"/>
          </w:tcPr>
          <w:p>
            <w:r>
              <w:t>5% / 95%</w:t>
            </w:r>
          </w:p>
        </w:tc>
      </w:tr>
      <w:tr>
        <w:tc>
          <w:tcPr>
            <w:tcW w:type="dxa" w:w="3120"/>
          </w:tcPr>
          <w:p>
            <w:r>
              <w:t>Liquidation proceeds</w:t>
            </w:r>
          </w:p>
        </w:tc>
        <w:tc>
          <w:tcPr>
            <w:tcW w:type="dxa" w:w="3120"/>
          </w:tcPr>
          <w:p>
            <w:r>
              <w:t>per Capital Accounts</w:t>
            </w:r>
          </w:p>
        </w:tc>
        <w:tc>
          <w:tcPr>
            <w:tcW w:type="dxa" w:w="3120"/>
          </w:tcPr>
          <w:p>
            <w:r>
              <w:t>per Capital Accounts</w:t>
            </w:r>
          </w:p>
        </w:tc>
      </w:tr>
    </w:tbl>
    <w:p/>
    <w:p>
      <w:pPr>
        <w:pStyle w:val="Heading2"/>
      </w:pPr>
      <w:r>
        <w:rPr>
          <w:b/>
        </w:rPr>
        <w:t>4.2 Allocations of Net Income and Net Loss</w:t>
      </w:r>
    </w:p>
    <w:p>
      <w:pPr>
        <w:spacing w:after="120"/>
        <w:jc w:val="both"/>
      </w:pPr>
      <w:r>
        <w:t>After giving effect to the Regulatory Allocations in Section 4.4, for each Allocation Period:</w:t>
      </w:r>
    </w:p>
    <w:p>
      <w:pPr>
        <w:spacing w:after="120"/>
        <w:jc w:val="both"/>
      </w:pPr>
      <w:r>
        <w:t>(a) Pre-Flip Period: Net Income and Net Loss shall be allocated 99% to the Class A Member and 1% to the Class B Member.</w:t>
      </w:r>
    </w:p>
    <w:p>
      <w:pPr>
        <w:spacing w:after="120"/>
        <w:jc w:val="both"/>
      </w:pPr>
      <w:r>
        <w:t>(b) Post-Flip Period: Net Income and Net Loss shall be allocated 5% to the Class A Member and 95% to the Class B Member.</w:t>
      </w:r>
    </w:p>
    <w:p>
      <w:pPr>
        <w:pStyle w:val="Heading2"/>
      </w:pPr>
      <w:r>
        <w:rPr>
          <w:b/>
        </w:rPr>
        <w:t>4.3 Allocation of §48E Credit</w:t>
      </w:r>
    </w:p>
    <w:p>
      <w:pPr>
        <w:spacing w:after="120"/>
        <w:jc w:val="both"/>
      </w:pPr>
      <w:r>
        <w:t>The §48E Credit with respect to each Solar System shall be allocated 99% to the Class A Member and 1% to the Class B Member in the Allocation Period that includes such Solar System’s PIS Date, consistent with §50 of the Code and Treas. Reg. §1.46-3(f) (as applicable to §48E).</w:t>
      </w:r>
    </w:p>
    <w:p>
      <w:pPr>
        <w:pStyle w:val="Heading2"/>
      </w:pPr>
      <w:r>
        <w:rPr>
          <w:b/>
        </w:rPr>
        <w:t>4.4 Regulatory Allocations</w:t>
      </w:r>
    </w:p>
    <w:p>
      <w:pPr>
        <w:spacing w:after="120"/>
        <w:jc w:val="both"/>
      </w:pPr>
      <w:r>
        <w:t>Notwithstanding the foregoing, the following allocations shall be made before the allocations in Sections 4.1, 4.2, and 4.3:</w:t>
      </w:r>
    </w:p>
    <w:p>
      <w:pPr>
        <w:pStyle w:val="Heading3"/>
      </w:pPr>
      <w:r>
        <w:t>(a) Minimum Gain Chargeback</w:t>
      </w:r>
    </w:p>
    <w:p>
      <w:pPr>
        <w:spacing w:after="120"/>
        <w:jc w:val="both"/>
      </w:pPr>
      <w:r>
        <w:t>Except as otherwise provided in Treas. Reg. §1.704-2(f), if there is a net decrease in Minimum Gain during any Allocation Period, each Member shall be allocated items of Company income and gain for such Allocation Period (and, if necessary, subsequent periods) in an amount equal to such Member’s share of the net decrease in Minimum Gain, determined in accordance with Treas. Reg. §1.704-2(f) and (g). This Section 4.4(a) is a “minimum gain chargeback” intended to comply with Treas. Reg. §1.704-2(f).</w:t>
      </w:r>
    </w:p>
    <w:p>
      <w:pPr>
        <w:pStyle w:val="Heading3"/>
      </w:pPr>
      <w:r>
        <w:t>(b) Qualified Income Offset</w:t>
      </w:r>
    </w:p>
    <w:p>
      <w:pPr>
        <w:spacing w:after="120"/>
        <w:jc w:val="both"/>
      </w:pPr>
      <w:r>
        <w:t>If any Member unexpectedly receives any adjustment, allocation, or distribution described in Treas. Reg. §1.704-1(b)(2)(ii)(d)(4), (5), or (6) that causes or increases an Adjusted Capital Account Deficit, items of Company income and gain shall be specially allocated to such Member in an amount and manner sufficient to eliminate, to the extent required by the Treasury Regulations, the Adjusted Capital Account Deficit of such Member as quickly as possible. This Section 4.4(b) is the “qualified income offset” required by Treas. Reg. §1.704-1(b)(2)(ii)(d) and is intended to satisfy the third prong of the substantial-economic-effect test.</w:t>
      </w:r>
    </w:p>
    <w:p>
      <w:pPr>
        <w:pStyle w:val="Heading3"/>
      </w:pPr>
      <w:r>
        <w:t>(c) Partner Nonrecourse Deductions</w:t>
      </w:r>
    </w:p>
    <w:p>
      <w:pPr>
        <w:spacing w:after="120"/>
        <w:jc w:val="both"/>
      </w:pPr>
      <w:r>
        <w:t>Partner Nonrecourse Deductions shall be allocated to the Member that bears the economic risk of loss with respect to the related Partner Nonrecourse Debt, in accordance with Treas. Reg. §1.704-2(i).</w:t>
      </w:r>
    </w:p>
    <w:p>
      <w:pPr>
        <w:pStyle w:val="Heading3"/>
      </w:pPr>
      <w:r>
        <w:t>(d) Nonrecourse Deductions</w:t>
      </w:r>
    </w:p>
    <w:p>
      <w:pPr>
        <w:spacing w:after="120"/>
        <w:jc w:val="both"/>
      </w:pPr>
      <w:r>
        <w:t>Nonrecourse Deductions shall be allocated in the same manner as Net Loss under Section 4.2.</w:t>
      </w:r>
    </w:p>
    <w:p>
      <w:pPr>
        <w:pStyle w:val="Heading3"/>
      </w:pPr>
      <w:r>
        <w:t>(e) §704(c) Allocations — Remedial Method</w:t>
      </w:r>
    </w:p>
    <w:p>
      <w:pPr>
        <w:spacing w:after="120"/>
        <w:jc w:val="both"/>
      </w:pPr>
      <w:r>
        <w:t>In accordance with §704(c) of the Code and Treas. Reg. §1.704-3(d), items of income, gain, loss, and deduction with respect to any property contributed to the Company shall, solely for tax purposes, be allocated among the Members so as to take into account any variation between the adjusted tax basis and the book value of such property. The Company hereby elects the “remedial method” under Treas. Reg. §1.704-3(d) for all such allocations.</w:t>
      </w:r>
    </w:p>
    <w:p>
      <w:pPr>
        <w:pStyle w:val="Heading3"/>
      </w:pPr>
      <w:r>
        <w:t>(f) Curative Allocations</w:t>
      </w:r>
    </w:p>
    <w:p>
      <w:pPr>
        <w:spacing w:after="120"/>
        <w:jc w:val="both"/>
      </w:pPr>
      <w:r>
        <w:t>The Regulatory Allocations in clauses (a) through (e) of this Section 4.4 shall be taken into account in computing subsequent allocations of Net Income, Net Loss, and items of income, gain, loss, or deduction, so that, to the extent possible, the net amount of such allocations of other items and the Regulatory Allocations to each Member shall be equal to the net amount that would have been allocated to each Member if the Regulatory Allocations had not occurred.</w:t>
      </w:r>
    </w:p>
    <w:p>
      <w:pPr>
        <w:pStyle w:val="Heading2"/>
      </w:pPr>
      <w:r>
        <w:rPr>
          <w:b/>
        </w:rPr>
        <w:t>4.5 §50(c)(3)(A) Basis Reduction</w:t>
      </w:r>
    </w:p>
    <w:p>
      <w:pPr>
        <w:spacing w:after="120"/>
        <w:jc w:val="both"/>
      </w:pPr>
      <w:r>
        <w:t>The Members acknowledge that the depreciable basis of each Solar System shall be reduced by fifty percent (50%) of the §48E Credit attributable to such Solar System, in accordance with §50(c)(3)(A) of the Code. Such basis reduction shall be reflected in the Capital Accounts of the Members in proportion to their Sharing Percentages with respect to the §48E Credit.</w:t>
      </w:r>
    </w:p>
    <w:p>
      <w:pPr>
        <w:pStyle w:val="Heading2"/>
      </w:pPr>
      <w:r>
        <w:rPr>
          <w:b/>
        </w:rPr>
        <w:t>4.6 Capital Account True-Up Allocation</w:t>
      </w:r>
    </w:p>
    <w:p>
      <w:pPr>
        <w:spacing w:after="120"/>
        <w:jc w:val="both"/>
      </w:pPr>
      <w:r>
        <w:t>In the year of liquidation of the Company (and in such other circumstances as the Tax Matters Partner shall determine in good faith), items of income, gain, loss, and deduction shall be specially allocated among the Members in such manner as is necessary to cause the Members’ ending Capital Account balances to equal the amounts each Member would receive if liquidation proceeds were distributed in accordance with their Sharing Percentages under Section 4.2(b) (post-Flip), to the extent permitted by Treas. Reg. §1.704-1(b).</w:t>
      </w:r>
    </w:p>
    <w:p>
      <w:pPr>
        <w:pStyle w:val="Heading1"/>
      </w:pPr>
      <w:r>
        <w:rPr>
          <w:b/>
        </w:rPr>
        <w:t>ARTICLE V — DISTRIBUTIONS</w:t>
      </w:r>
    </w:p>
    <w:p>
      <w:pPr>
        <w:pStyle w:val="Heading2"/>
      </w:pPr>
      <w:r>
        <w:rPr>
          <w:b/>
        </w:rPr>
        <w:t>5.1 Distribution Dates</w:t>
      </w:r>
    </w:p>
    <w:p>
      <w:pPr>
        <w:spacing w:after="120"/>
        <w:jc w:val="both"/>
      </w:pPr>
      <w:r>
        <w:t>The Manager shall cause the Company to make Distributions of Distributable Cash to the Members on each March 31, June 30, September 30, and December 31 (each, a “Quarterly Distribution Date”), and on such additional dates as the Manager determines in good faith.</w:t>
      </w:r>
    </w:p>
    <w:p>
      <w:pPr>
        <w:pStyle w:val="Heading2"/>
      </w:pPr>
      <w:r>
        <w:rPr>
          <w:b/>
        </w:rPr>
        <w:t>5.2 Order of Distributions</w:t>
      </w:r>
    </w:p>
    <w:p>
      <w:pPr>
        <w:spacing w:after="120"/>
        <w:jc w:val="both"/>
      </w:pPr>
      <w:r>
        <w:t>On each Distribution Date, Distributable Cash shall be distributed to the Members in proportion to their Sharing Percentages for cash Distributions in effect on such Distribution Date (i.e., 99% / 1% during the Pre-Flip Period, and 5% / 95% during the Post-Flip Period). Cash Distributions shall follow the §704(b) Allocations in conformity with Rev. Proc. 2007-65 §4.05.</w:t>
      </w:r>
    </w:p>
    <w:p>
      <w:pPr>
        <w:pStyle w:val="Heading2"/>
      </w:pPr>
      <w:r>
        <w:rPr>
          <w:b/>
        </w:rPr>
        <w:t>5.3 Tax Distributions</w:t>
      </w:r>
    </w:p>
    <w:p>
      <w:pPr>
        <w:spacing w:after="120"/>
        <w:jc w:val="both"/>
      </w:pPr>
      <w:r>
        <w:t>Notwithstanding Section 5.2, the Manager shall use commercially reasonable efforts to cause the Company to make tax distributions to each Member at least annually in an amount equal to such Member’s “presumed tax liability” attributable to allocations made under Article IV, computed using an assumed marginal federal corporate rate of 21% plus an assumed state rate of [_____%]. Tax distributions shall be treated as advances against, and shall reduce, subsequent Distributions otherwise payable to such Member under Section 5.2.</w:t>
      </w:r>
    </w:p>
    <w:p>
      <w:pPr>
        <w:pStyle w:val="Heading2"/>
      </w:pPr>
      <w:r>
        <w:rPr>
          <w:b/>
        </w:rPr>
        <w:t>5.4 Liquidating Distributions</w:t>
      </w:r>
    </w:p>
    <w:p>
      <w:pPr>
        <w:spacing w:after="120"/>
        <w:jc w:val="both"/>
      </w:pPr>
      <w:r>
        <w:t>Upon liquidation of the Company under Article IX, liquidation proceeds shall be distributed in accordance with the Members’ positive Capital Account balances as required by Section 3.6, and not pursuant to Section 5.2.</w:t>
      </w:r>
    </w:p>
    <w:p>
      <w:pPr>
        <w:pStyle w:val="Heading2"/>
      </w:pPr>
      <w:r>
        <w:rPr>
          <w:b/>
        </w:rPr>
        <w:t>5.5 Withholding</w:t>
      </w:r>
    </w:p>
    <w:p>
      <w:pPr>
        <w:spacing w:after="120"/>
        <w:jc w:val="both"/>
      </w:pPr>
      <w:r>
        <w:t>The Company is authorized to withhold from any Distribution to a Member any amount required by law to be withheld in respect of such Member, and any such amount shall be treated as a Distribution to such Member for all purposes of this Agreement.</w:t>
      </w:r>
    </w:p>
    <w:p>
      <w:pPr>
        <w:pStyle w:val="Heading1"/>
      </w:pPr>
      <w:r>
        <w:rPr>
          <w:b/>
        </w:rPr>
        <w:t>ARTICLE VI — MANAGEMENT</w:t>
      </w:r>
    </w:p>
    <w:p>
      <w:pPr>
        <w:pStyle w:val="Heading2"/>
      </w:pPr>
      <w:r>
        <w:rPr>
          <w:b/>
        </w:rPr>
        <w:t>6.1 Management by Manager</w:t>
      </w:r>
    </w:p>
    <w:p>
      <w:pPr>
        <w:spacing w:after="120"/>
        <w:jc w:val="both"/>
      </w:pPr>
      <w:r>
        <w:t>The Company shall be a manager-managed limited liability company. EDGE ENERGY / MICROGRID ENERGY LLC shall serve as the initial Manager. Except for Fundamental Actions requiring Class A Member consent under Section 6.4, the Manager shall have full and exclusive authority to manage and conduct the business and affairs of the Company in accordance with this Agreement and the TEIA.</w:t>
      </w:r>
    </w:p>
    <w:p>
      <w:pPr>
        <w:pStyle w:val="Heading2"/>
      </w:pPr>
      <w:r>
        <w:rPr>
          <w:b/>
        </w:rPr>
        <w:t>6.2 Removal and Replacement of Manager</w:t>
      </w:r>
    </w:p>
    <w:p>
      <w:pPr>
        <w:spacing w:after="120"/>
        <w:jc w:val="both"/>
      </w:pPr>
      <w:r>
        <w:t>The Class A Member may remove and replace the Manager upon the occurrence of a Sponsor Default (as defined in the TEIA), by written notice to the Class B Member, identifying the Replacement Manager. The Replacement Manager shall be a tax-equity-experienced project management firm reasonably acceptable to the Class A Member.</w:t>
      </w:r>
    </w:p>
    <w:p>
      <w:pPr>
        <w:pStyle w:val="Heading2"/>
      </w:pPr>
      <w:r>
        <w:rPr>
          <w:b/>
        </w:rPr>
        <w:t>6.3 Management Fee</w:t>
      </w:r>
    </w:p>
    <w:p>
      <w:pPr>
        <w:spacing w:after="120"/>
        <w:jc w:val="both"/>
      </w:pPr>
      <w:r>
        <w:t>The Company shall pay the Manager an annual management fee in the amount of [$_______] (the “Management Fee”), payable in equal monthly installments. The Management Fee is intended to be deductible by the Company under §162 of the Code and is allocated among the Members in accordance with their Sharing Percentages under Section 4.2.</w:t>
      </w:r>
    </w:p>
    <w:p>
      <w:pPr>
        <w:pStyle w:val="Heading2"/>
      </w:pPr>
      <w:r>
        <w:rPr>
          <w:b/>
        </w:rPr>
        <w:t>6.4 Fundamental Actions</w:t>
      </w:r>
    </w:p>
    <w:p>
      <w:pPr>
        <w:spacing w:after="120"/>
        <w:jc w:val="both"/>
      </w:pPr>
      <w:r>
        <w:t>Notwithstanding Section 6.1, the Manager shall not cause or permit the Company to take any of the following actions (each, a “Fundamental Action”) without the prior written consent of the Class A Member, which consent may be withheld in the Class A Member’s reasonable discretion:</w:t>
      </w:r>
    </w:p>
    <w:p>
      <w:pPr>
        <w:spacing w:after="120"/>
        <w:jc w:val="both"/>
      </w:pPr>
      <w:r>
        <w:t>(a) any sale, transfer, or other disposition of any Solar System or Customer Contract outside the ordinary course of business;</w:t>
        <w:br/>
        <w:t>(b) the incurrence of any debt other than the Senior Project Debt as in effect on the Effective Date;</w:t>
        <w:br/>
        <w:t>(c) any amendment, modification, or waiver of this Agreement or the TEIA, including any change to the Sharing Percentages, the Flip Date, the Target After-Tax IRR, or the Qualified Income Offset;</w:t>
        <w:br/>
        <w:t>(d) any §6418 election to transfer all or any portion of the §48E Credit;</w:t>
        <w:br/>
        <w:t>(e) any election to opt out of, or modify, the 100% bonus depreciation under §168(k);</w:t>
        <w:br/>
        <w:t>(f) the admission of any additional Member to the Company;</w:t>
        <w:br/>
        <w:t>(g) any merger, consolidation, conversion, or sale of all or substantially all of the assets of the Company;</w:t>
        <w:br/>
        <w:t>(h) any change to the Company’s tax classification, methods of accounting, or principal accounting firm;</w:t>
        <w:br/>
        <w:t>(i) the commencement of any voluntary bankruptcy or similar proceeding; or</w:t>
        <w:br/>
        <w:t>(j) any transaction with an affiliate of the Manager outside the ordinary course of business and on non-arm’s-length terms.</w:t>
      </w:r>
    </w:p>
    <w:p>
      <w:pPr>
        <w:pStyle w:val="Heading2"/>
      </w:pPr>
      <w:r>
        <w:rPr>
          <w:b/>
        </w:rPr>
        <w:t>6.5 Standard of Care; Indemnification of Manager</w:t>
      </w:r>
    </w:p>
    <w:p>
      <w:pPr>
        <w:spacing w:after="120"/>
        <w:jc w:val="both"/>
      </w:pPr>
      <w:r>
        <w:t>The Manager shall manage the affairs of the Company in good faith, with the care that an ordinarily prudent person in a like position would exercise under similar circumstances, and in a manner the Manager reasonably believes to be in the best interests of the Company. The Company shall indemnify the Manager against any Losses arising out of the Manager’s conduct on behalf of the Company, EXCEPT for Losses arising out of the Manager’s fraud, willful misconduct, or breach of this Agreement or the TEIA.</w:t>
      </w:r>
    </w:p>
    <w:p>
      <w:pPr>
        <w:pStyle w:val="Heading1"/>
      </w:pPr>
      <w:r>
        <w:rPr>
          <w:b/>
        </w:rPr>
        <w:t>ARTICLE VII — BOOKS, RECORDS, AND TAX MATTERS</w:t>
      </w:r>
    </w:p>
    <w:p>
      <w:pPr>
        <w:pStyle w:val="Heading2"/>
      </w:pPr>
      <w:r>
        <w:rPr>
          <w:b/>
        </w:rPr>
        <w:t>7.1 Books and Records</w:t>
      </w:r>
    </w:p>
    <w:p>
      <w:pPr>
        <w:spacing w:after="120"/>
        <w:jc w:val="both"/>
      </w:pPr>
      <w:r>
        <w:t>The Company shall maintain complete and accurate books and records at its principal place of business, including (a) financial statements prepared in accordance with U.S. GAAP, (b) tax workpapers, (c) wage and apprenticeship records sufficient to substantiate PWA Compliance for at least five (5) years post-PIS of each Solar System, (d) FEOC compliance documentation, (e) Domestic Content workbook, and (f) Energy Community census-tract attestations. Each Member and its representatives shall have reasonable access to such books and records during normal business hours.</w:t>
      </w:r>
    </w:p>
    <w:p>
      <w:pPr>
        <w:pStyle w:val="Heading2"/>
      </w:pPr>
      <w:r>
        <w:rPr>
          <w:b/>
        </w:rPr>
        <w:t>7.2 Reports</w:t>
      </w:r>
    </w:p>
    <w:p>
      <w:pPr>
        <w:spacing w:after="120"/>
        <w:jc w:val="both"/>
      </w:pPr>
      <w:r>
        <w:t>The Manager shall deliver to each Member:</w:t>
      </w:r>
    </w:p>
    <w:p>
      <w:pPr>
        <w:spacing w:after="120"/>
        <w:jc w:val="both"/>
      </w:pPr>
      <w:r>
        <w:t>(a) monthly operating reports within thirty (30) days after the end of each month;</w:t>
        <w:br/>
        <w:t>(b) quarterly unaudited financial statements within forty-five (45) days after the end of each fiscal quarter;</w:t>
        <w:br/>
        <w:t>(c) annual audited financial statements within ninety (90) days after the end of each fiscal year;</w:t>
        <w:br/>
        <w:t>(d) the Company’s draft IRS Form 1065 (and each Member’s draft Schedule K-1) at least thirty (30) days prior to filing; and</w:t>
        <w:br/>
        <w:t>(e) prompt notice of any Recapture Event, PWA Breach, FEOC Breach, governmental inquiry, or other event that could reasonably be expected to have a Material Adverse Effect on the Company or any Member.</w:t>
      </w:r>
    </w:p>
    <w:p>
      <w:pPr>
        <w:pStyle w:val="Heading2"/>
      </w:pPr>
      <w:r>
        <w:rPr>
          <w:b/>
        </w:rPr>
        <w:t>7.3 Tax Matters Partner / Partnership Representative</w:t>
      </w:r>
    </w:p>
    <w:p>
      <w:pPr>
        <w:spacing w:after="120"/>
        <w:jc w:val="both"/>
      </w:pPr>
      <w:r>
        <w:t>The Class B Member shall serve as the “Partnership Representative” under §6223 of the Code (and as “Tax Matters Partner” to the extent that role is still relevant for any pre-2018 tax year). The Partnership Representative shall (a) prepare and file all federal, state, and local tax returns of the Company on a timely basis, (b) give prompt notice to the Class A Member of any audit, examination, or proceeding, (c) consult with the Class A Member in good faith with respect to material tax positions and any audit strategy, and (d) not settle, compromise, or concede any material tax matter that affects the Class A Member’s allocation of the §48E Credit or MACRS depreciation without the Class A Member’s prior written consent (not to be unreasonably withheld).</w:t>
      </w:r>
    </w:p>
    <w:p>
      <w:pPr>
        <w:pStyle w:val="Heading2"/>
      </w:pPr>
      <w:r>
        <w:rPr>
          <w:b/>
        </w:rPr>
        <w:t>7.4 Tax Elections</w:t>
      </w:r>
    </w:p>
    <w:p>
      <w:pPr>
        <w:spacing w:after="120"/>
        <w:jc w:val="both"/>
      </w:pPr>
      <w:r>
        <w:t>The Company shall make each of the following elections on its first IRS Form 1065 (and on each subsequent return, as applicable):</w:t>
      </w:r>
    </w:p>
    <w:p>
      <w:pPr>
        <w:spacing w:after="120"/>
        <w:jc w:val="both"/>
      </w:pPr>
      <w:r>
        <w:t>(a) §704(c) remedial method under Treas. Reg. §1.704-3(d);</w:t>
        <w:br/>
        <w:t>(b) §168(k) bonus depreciation (no opt-out);</w:t>
        <w:br/>
        <w:t>(c) §263A(f) capitalization of qualified construction-period interest;</w:t>
        <w:br/>
        <w:t>(d) §168(i)(4) general-asset account election;</w:t>
        <w:br/>
        <w:t>(e) §754 election with associated §743(b) basis-step-up rights;</w:t>
      </w:r>
    </w:p>
    <w:p>
      <w:pPr>
        <w:spacing w:after="120"/>
        <w:jc w:val="both"/>
      </w:pPr>
      <w:r>
        <w:t>The Company shall NOT make the following elections, except with the prior written consent of the Class A Member:</w:t>
      </w:r>
    </w:p>
    <w:p>
      <w:pPr>
        <w:spacing w:after="120"/>
        <w:jc w:val="both"/>
      </w:pPr>
      <w:r>
        <w:t>(x) §6418 election to transfer all or any portion of the §48E Credit;</w:t>
        <w:br/>
        <w:t>(y) §163(j)(7)(A) election as a real-property trade or business;</w:t>
        <w:br/>
        <w:t>(z) any election to opt out of bonus depreciation.</w:t>
      </w:r>
    </w:p>
    <w:p>
      <w:pPr>
        <w:pStyle w:val="Heading2"/>
      </w:pPr>
      <w:r>
        <w:rPr>
          <w:b/>
        </w:rPr>
        <w:t>7.5 Allocation of Tax Information</w:t>
      </w:r>
    </w:p>
    <w:p>
      <w:pPr>
        <w:spacing w:after="120"/>
        <w:jc w:val="both"/>
      </w:pPr>
      <w:r>
        <w:t>The Manager shall provide each Member with such information as the Member shall reasonably request to enable such Member to prepare its own federal, state, and local tax returns, including each Member’s share of the §48E Credit, MACRS depreciation, and other tax items for the relevant Allocation Periods.</w:t>
      </w:r>
    </w:p>
    <w:p>
      <w:pPr>
        <w:pStyle w:val="Heading1"/>
      </w:pPr>
      <w:r>
        <w:rPr>
          <w:b/>
        </w:rPr>
        <w:t>ARTICLE VIII — TRANSFERS OF MEMBERSHIP INTERESTS</w:t>
      </w:r>
    </w:p>
    <w:p>
      <w:pPr>
        <w:pStyle w:val="Heading2"/>
      </w:pPr>
      <w:r>
        <w:rPr>
          <w:b/>
        </w:rPr>
        <w:t>8.1 General Restriction on Transfers</w:t>
      </w:r>
    </w:p>
    <w:p>
      <w:pPr>
        <w:spacing w:after="120"/>
        <w:jc w:val="both"/>
      </w:pPr>
      <w:r>
        <w:t>No Member may sell, assign, pledge, hypothecate, or otherwise transfer all or any portion of its Membership Interest without the prior written consent of the other Member, which consent may be withheld in such other Member’s reasonable discretion. Any purported transfer in violation of this Section 8.1 shall be void ab initio.</w:t>
      </w:r>
    </w:p>
    <w:p>
      <w:pPr>
        <w:pStyle w:val="Heading2"/>
      </w:pPr>
      <w:r>
        <w:rPr>
          <w:b/>
        </w:rPr>
        <w:t>8.2 Permitted Transfers</w:t>
      </w:r>
    </w:p>
    <w:p>
      <w:pPr>
        <w:spacing w:after="120"/>
        <w:jc w:val="both"/>
      </w:pPr>
      <w:r>
        <w:t>Notwithstanding Section 8.1, each Member may transfer all or any portion of its Membership Interest to a Permitted Transferee without the consent of the other Member, provided that (a) the Permitted Transferee executes a joinder to this Agreement, (b) the transfer does not cause the Company to be treated as a “publicly traded partnership” under §7704 of the Code, and (c) the transfer does not trigger a Recapture Event.</w:t>
      </w:r>
    </w:p>
    <w:p>
      <w:pPr>
        <w:pStyle w:val="Heading2"/>
      </w:pPr>
      <w:r>
        <w:rPr>
          <w:b/>
        </w:rPr>
        <w:t>8.3 Sponsor Purchase Option (Post-Flip)</w:t>
      </w:r>
    </w:p>
    <w:p>
      <w:pPr>
        <w:spacing w:after="120"/>
        <w:jc w:val="both"/>
      </w:pPr>
      <w:r>
        <w:t>From and after the Flip Date, the Class B Member shall have the option to purchase the Class A Member’s residual 5% Class A Interest at fair market value, determined by independent appraisal in accordance with the procedures set forth on Schedule 8.3. This purchase option is intended to comply with Rev. Proc. 2007-65 §4.08.</w:t>
      </w:r>
    </w:p>
    <w:p>
      <w:pPr>
        <w:pStyle w:val="Heading2"/>
      </w:pPr>
      <w:r>
        <w:rPr>
          <w:b/>
        </w:rPr>
        <w:t>8.4 No Mandatory Put</w:t>
      </w:r>
    </w:p>
    <w:p>
      <w:pPr>
        <w:spacing w:after="120"/>
        <w:jc w:val="both"/>
      </w:pPr>
      <w:r>
        <w:t>Consistent with Rev. Proc. 2007-65 §4.07, the Class B Member shall not be obligated to purchase the Class A Member’s Membership Interest under any circumstance, and the Class A Member has no “put” right against the Class B Member.</w:t>
      </w:r>
    </w:p>
    <w:p>
      <w:pPr>
        <w:pStyle w:val="Heading1"/>
      </w:pPr>
      <w:r>
        <w:rPr>
          <w:b/>
        </w:rPr>
        <w:t>ARTICLE IX — DISSOLUTION AND LIQUIDATION</w:t>
      </w:r>
    </w:p>
    <w:p>
      <w:pPr>
        <w:pStyle w:val="Heading2"/>
      </w:pPr>
      <w:r>
        <w:rPr>
          <w:b/>
        </w:rPr>
        <w:t>9.1 Events of Dissolution</w:t>
      </w:r>
    </w:p>
    <w:p>
      <w:pPr>
        <w:spacing w:after="120"/>
        <w:jc w:val="both"/>
      </w:pPr>
      <w:r>
        <w:t>The Company shall be dissolved upon the first to occur of: (a) the written agreement of both Members; (b) the sale or other disposition of all or substantially all of the assets of the Company; (c) a final, non-appealable judicial decree of dissolution; or (d) any other event causing dissolution under the Act, subject to any continuation election available under the Act.</w:t>
      </w:r>
    </w:p>
    <w:p>
      <w:pPr>
        <w:pStyle w:val="Heading2"/>
      </w:pPr>
      <w:r>
        <w:rPr>
          <w:b/>
        </w:rPr>
        <w:t>9.2 Liquidation Procedure</w:t>
      </w:r>
    </w:p>
    <w:p>
      <w:pPr>
        <w:spacing w:after="120"/>
        <w:jc w:val="both"/>
      </w:pPr>
      <w:r>
        <w:t>Upon dissolution, the Manager (or, if the Manager has been removed, a liquidator designated by the Class A Member) shall wind up the affairs of the Company. The assets of the Company shall be applied, in the following order: (a) to the payment of debts and liabilities of the Company (other than those owed to Members); (b) to the establishment of reasonable reserves for contingent liabilities; (c) to the payment of debts and liabilities owed to Members; and (d) to the Members in accordance with their positive Capital Account balances as required by Section 3.6.</w:t>
      </w:r>
    </w:p>
    <w:p>
      <w:pPr>
        <w:pStyle w:val="Heading1"/>
      </w:pPr>
      <w:r>
        <w:rPr>
          <w:b/>
        </w:rPr>
        <w:t>ARTICLE X — MISCELLANEOUS</w:t>
      </w:r>
    </w:p>
    <w:p>
      <w:pPr>
        <w:pStyle w:val="Heading2"/>
      </w:pPr>
      <w:r>
        <w:rPr>
          <w:b/>
        </w:rPr>
        <w:t>10.1 Governing Law</w:t>
      </w:r>
    </w:p>
    <w:p>
      <w:pPr>
        <w:spacing w:after="120"/>
        <w:jc w:val="both"/>
      </w:pPr>
      <w:r>
        <w:t>This Agreement is governed by, and shall be construed in accordance with, the laws of the State of Delaware, without regard to its conflict-of-laws principles.</w:t>
      </w:r>
    </w:p>
    <w:p>
      <w:pPr>
        <w:pStyle w:val="Heading2"/>
      </w:pPr>
      <w:r>
        <w:rPr>
          <w:b/>
        </w:rPr>
        <w:t>10.2 Dispute Resolution</w:t>
      </w:r>
    </w:p>
    <w:p>
      <w:pPr>
        <w:spacing w:after="120"/>
        <w:jc w:val="both"/>
      </w:pPr>
      <w:r>
        <w:t>Any dispute arising under this Agreement shall be resolved in accordance with §16.2 of the TEIA (JAMS arbitration in New York, New York).</w:t>
      </w:r>
    </w:p>
    <w:p>
      <w:pPr>
        <w:pStyle w:val="Heading2"/>
      </w:pPr>
      <w:r>
        <w:rPr>
          <w:b/>
        </w:rPr>
        <w:t>10.3 Amendments</w:t>
      </w:r>
    </w:p>
    <w:p>
      <w:pPr>
        <w:spacing w:after="120"/>
        <w:jc w:val="both"/>
      </w:pPr>
      <w:r>
        <w:t>This Agreement may be amended only by a written instrument signed by both Members. Any amendment that would adversely affect the rights of the Class A Member (including any change to the Sharing Percentages, the §704(b) Allocations, the Qualified Income Offset, the Flip Date, or the Target After-Tax IRR) requires the prior written consent of the Class A Member, and shall be deemed a Fundamental Action under Section 6.4.</w:t>
      </w:r>
    </w:p>
    <w:p>
      <w:pPr>
        <w:pStyle w:val="Heading2"/>
      </w:pPr>
      <w:r>
        <w:rPr>
          <w:b/>
        </w:rPr>
        <w:t>10.4 Entire Agreement</w:t>
      </w:r>
    </w:p>
    <w:p>
      <w:pPr>
        <w:spacing w:after="120"/>
        <w:jc w:val="both"/>
      </w:pPr>
      <w:r>
        <w:t>This Agreement, together with the TEIA and the Schedules and Exhibits hereto, constitutes the entire agreement of the Members with respect to its subject matter, and supersedes all prior and contemporaneous agreements and understandings.</w:t>
      </w:r>
    </w:p>
    <w:p>
      <w:pPr>
        <w:pStyle w:val="Heading2"/>
      </w:pPr>
      <w:r>
        <w:rPr>
          <w:b/>
        </w:rPr>
        <w:t>10.5 Notices</w:t>
      </w:r>
    </w:p>
    <w:p>
      <w:pPr>
        <w:spacing w:after="120"/>
        <w:jc w:val="both"/>
      </w:pPr>
      <w:r>
        <w:t>Notices shall be given in accordance with §17.1 of the TEIA.</w:t>
      </w:r>
    </w:p>
    <w:p>
      <w:pPr>
        <w:pStyle w:val="Heading2"/>
      </w:pPr>
      <w:r>
        <w:rPr>
          <w:b/>
        </w:rPr>
        <w:t>10.6 Counterparts; Electronic Signatures</w:t>
      </w:r>
    </w:p>
    <w:p>
      <w:pPr>
        <w:spacing w:after="120"/>
        <w:jc w:val="both"/>
      </w:pPr>
      <w:r>
        <w:t>This Agreement may be executed in counterparts. Signatures delivered by email or electronic-signature platform shall be deemed originals.</w:t>
      </w:r>
    </w:p>
    <w:p>
      <w:pPr>
        <w:pStyle w:val="Heading2"/>
      </w:pPr>
      <w:r>
        <w:rPr>
          <w:b/>
        </w:rPr>
        <w:t>10.7 Severability</w:t>
      </w:r>
    </w:p>
    <w:p>
      <w:pPr>
        <w:spacing w:after="120"/>
        <w:jc w:val="both"/>
      </w:pPr>
      <w:r>
        <w:t>If any provision of this Agreement is held invalid or unenforceable, the remaining provisions shall remain in full force and effect, and the invalid provision shall be reformed to give effect to the intent of the Members to the extent permitted by law.</w:t>
      </w:r>
    </w:p>
    <w:p>
      <w:pPr>
        <w:pStyle w:val="Heading2"/>
      </w:pPr>
      <w:r>
        <w:rPr>
          <w:b/>
        </w:rPr>
        <w:t>10.8 No Third-Party Beneficiaries</w:t>
      </w:r>
    </w:p>
    <w:p>
      <w:pPr>
        <w:spacing w:after="120"/>
        <w:jc w:val="both"/>
      </w:pPr>
      <w:r>
        <w:t>This Agreement is for the sole benefit of the Members and their respective successors and Permitted Transferees, and nothing herein shall confer any rights upon any other person.</w:t>
      </w:r>
    </w:p>
    <w:p/>
    <w:p>
      <w:pPr>
        <w:spacing w:after="120"/>
        <w:jc w:val="both"/>
      </w:pPr>
      <w:r>
        <w:t>IN WITNESS WHEREOF, the Members have executed this Amended and Restated Limited Liability Company Operating Agreement as of the Effective Date.</w:t>
      </w:r>
    </w:p>
    <w:p/>
    <w:p>
      <w:r>
        <w:rPr>
          <w:b/>
        </w:rPr>
        <w:t>EDGE ENERGY / MICROGRID ENERGY LLC</w:t>
      </w:r>
    </w:p>
    <w:p>
      <w:r>
        <w:rPr>
          <w:i/>
        </w:rPr>
        <w:t>(as Class B Member and Manager)</w:t>
      </w:r>
    </w:p>
    <w:p>
      <w:r>
        <w:t>By: _______________________________________</w:t>
      </w:r>
    </w:p>
    <w:p>
      <w:r>
        <w:t>Name: Paul Christodoulou</w:t>
      </w:r>
    </w:p>
    <w:p>
      <w:r>
        <w:t>Title: Chief Financial Officer</w:t>
      </w:r>
    </w:p>
    <w:p>
      <w:r>
        <w:t>Date: ____________________________________</w:t>
      </w:r>
    </w:p>
    <w:p/>
    <w:p>
      <w:r>
        <w:rPr>
          <w:b/>
        </w:rPr>
        <w:t>DIRECT SUPPLY EQUITY, LLC</w:t>
      </w:r>
    </w:p>
    <w:p>
      <w:r>
        <w:rPr>
          <w:i/>
        </w:rPr>
        <w:t>(as Class A Member)</w:t>
      </w:r>
    </w:p>
    <w:p>
      <w:r>
        <w:t>By: _______________________________________</w:t>
      </w:r>
    </w:p>
    <w:p>
      <w:r>
        <w:t>Name: _____________________________________</w:t>
      </w:r>
    </w:p>
    <w:p>
      <w:r>
        <w:t>Title: ____________________________________</w:t>
      </w:r>
    </w:p>
    <w:p>
      <w:r>
        <w:t>Date: ____________________________________</w:t>
      </w:r>
    </w:p>
    <w:p>
      <w:r>
        <w:br w:type="page"/>
      </w:r>
    </w:p>
    <w:p>
      <w:pPr>
        <w:pStyle w:val="Heading1"/>
      </w:pPr>
      <w:r>
        <w:rPr>
          <w:b/>
        </w:rPr>
        <w:t>EXHIBIT A — TARGET AFTER-TAX IRR COMPUTATION METHODOLOGY</w:t>
      </w:r>
    </w:p>
    <w:p>
      <w:pPr>
        <w:spacing w:after="120"/>
        <w:jc w:val="both"/>
      </w:pPr>
      <w:r>
        <w:t>The Target After-Tax IRR of 8.4% per annum (compounded monthly) is computed for the Class A Member as the discount rate that causes the net present value of the following cash and tax flows to equal zero, computed on a month-end basis using a 30/360 daycount convention:</w:t>
      </w:r>
    </w:p>
    <w:p>
      <w:pPr>
        <w:spacing w:after="120"/>
        <w:jc w:val="both"/>
      </w:pPr>
      <w:r>
        <w:t>(a) Capital Contributions by the Class A Member (negative flows);</w:t>
        <w:br/>
        <w:t>(b) Cash value of the §48E Credit when claimed (positive, computed at the Class A Member’s assumed 21% federal marginal rate);</w:t>
        <w:br/>
        <w:t>(c) Federal-income-tax savings from allocated MACRS depreciation and Net Loss (positive);</w:t>
        <w:br/>
        <w:t>(d) Cash Distributions to the Class A Member (positive);</w:t>
        <w:br/>
        <w:t>(e) Recapture Insurance premium, if borne by the Class A Member (negative); and</w:t>
        <w:br/>
        <w:t>(f) Indemnification, make-whole, or other payments received from EDGE under the TEIA (positive).</w:t>
      </w:r>
    </w:p>
    <w:p>
      <w:pPr>
        <w:spacing w:after="120"/>
        <w:jc w:val="both"/>
      </w:pPr>
      <w:r>
        <w:t>The Yield-Based Flip occurs on the first Distribution Date on which the Class A Member’s realized After-Tax IRR equals or exceeds 8.4%, subject in all cases to the Time-Based Floor (60-month statutory minimum).</w:t>
      </w:r>
    </w:p>
    <w:p>
      <w:pPr>
        <w:pStyle w:val="Heading1"/>
      </w:pPr>
      <w:r>
        <w:rPr>
          <w:b/>
        </w:rPr>
        <w:t>SCHEDULE 3.3 — CLASS B CAPITAL CONTRIBUTIONS</w:t>
      </w:r>
    </w:p>
    <w:p>
      <w:pPr>
        <w:spacing w:after="120"/>
        <w:jc w:val="both"/>
      </w:pPr>
      <w:r>
        <w:t>The Class B Member shall make Capital Contributions in the aggregate amount of approximately [$1,560,000] (or such other amount as the Members agree in writing prior to Closing), on the schedule set forth below, generally pari passu with the Class A Member’s Capital Calls under Schedule B of the TEIA.</w:t>
      </w:r>
    </w:p>
    <w:p>
      <w:pPr>
        <w:pStyle w:val="Heading1"/>
      </w:pPr>
      <w:r>
        <w:rPr>
          <w:b/>
        </w:rPr>
        <w:t>SCHEDULE 8.3 — APPRAISAL PROCEDURE</w:t>
      </w:r>
    </w:p>
    <w:p>
      <w:pPr>
        <w:spacing w:after="120"/>
        <w:jc w:val="both"/>
      </w:pPr>
      <w:r>
        <w:t>Upon the Class B Member’s exercise of the Sponsor Purchase Option under Section 8.3, the fair market value of the Class A Member’s residual 5% Class A Interest shall be determined as follows:</w:t>
      </w:r>
    </w:p>
    <w:p>
      <w:pPr>
        <w:spacing w:after="120"/>
        <w:jc w:val="both"/>
      </w:pPr>
      <w:r>
        <w:t>(a) The Class A Member and the Class B Member shall each appoint a qualified third-party appraiser experienced in valuing renewable-energy tax-equity interests. Each appraiser shall deliver a written valuation within thirty (30) days of appointment.</w:t>
        <w:br/>
        <w:t>(b) If the two valuations are within ten percent (10%) of each other, the fair market value shall be the average of the two.</w:t>
        <w:br/>
        <w:t>(c) If the two valuations differ by more than ten percent (10%), the two appraisers shall jointly select a third independent appraiser. The fair market value shall be the average of the two closest of the three valuations.</w:t>
        <w:br/>
        <w:t>(d) Each Member shall bear the cost of its own appraiser, and the Members shall share equally the cost of the third appraiser, if any.</w:t>
      </w:r>
    </w:p>
    <w:p>
      <w:pPr>
        <w:pStyle w:val="Heading1"/>
      </w:pPr>
      <w:r>
        <w:rPr>
          <w:b/>
        </w:rPr>
        <w:t>SCHEDULE 10.5 — NOTICE ADDRESSES</w:t>
      </w:r>
    </w:p>
    <w:p>
      <w:pPr>
        <w:spacing w:after="120"/>
        <w:jc w:val="both"/>
      </w:pPr>
      <w:r>
        <w:t>[Insert notice addresses for the Class A Member and the Class B Member.]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