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02708708243aaa699cd7b0b3f84eeb0d8d1249"/>
    <w:p>
      <w:pPr>
        <w:pStyle w:val="Heading1"/>
      </w:pPr>
      <w:r>
        <w:t xml:space="preserve">RESTRICTED STOCK PURCHASE AGREEMENT (REFRESH GRANT)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(Refresh Grant)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Seungjoon Kim</w:t>
      </w:r>
      <w:r>
        <w:t xml:space="preserve"> </w:t>
      </w:r>
      <w:r>
        <w:t xml:space="preserve">("</w:t>
      </w:r>
      <w:r>
        <w:rPr>
          <w:b/>
          <w:bCs/>
        </w:rPr>
        <w:t xml:space="preserve">Purchaser</w:t>
      </w:r>
      <w:r>
        <w:t xml:space="preserve">"), an individual.</w:t>
      </w:r>
    </w:p>
    <w:p>
      <w:pPr>
        <w:pStyle w:val="BodyText"/>
      </w:pPr>
      <w:r>
        <w:t xml:space="preserve">This Agreement is supplemental to and does not amend the original Restricted Stock Purchase Agreement between the Company and Purchaser dated April 13, 2026 (the "</w:t>
      </w:r>
      <w:r>
        <w:rPr>
          <w:b/>
          <w:bCs/>
        </w:rPr>
        <w:t xml:space="preserve">Original RSPA</w:t>
      </w:r>
      <w:r>
        <w:t xml:space="preserve">"), pursuant to which Purchaser previously acquired 3,150,000 shares of the Company's Common Stock evidenced by Stock Certificate No. CS-001-R.</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One Hundred Forty-One Thousand Four Hundred Twenty-Eight (141,428) additional shares of the Company's Common Stock, par value $0.0001 per share (the "</w:t>
      </w:r>
      <w:r>
        <w:rPr>
          <w:b/>
          <w:bCs/>
        </w:rPr>
        <w:t xml:space="preserve">Refresh 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T</m:t>
        </m:r>
        <m:r>
          <m:t>h</m:t>
        </m:r>
        <m:r>
          <m:t>r</m:t>
        </m:r>
        <m:r>
          <m:t>e</m:t>
        </m:r>
        <m:r>
          <m:t>e</m:t>
        </m:r>
        <m:r>
          <m:t>H</m:t>
        </m:r>
        <m:r>
          <m:t>u</m:t>
        </m:r>
        <m:r>
          <m:t>n</m:t>
        </m:r>
        <m:r>
          <m:t>d</m:t>
        </m:r>
        <m:r>
          <m:t>r</m:t>
        </m:r>
        <m:r>
          <m:t>e</m:t>
        </m:r>
        <m:r>
          <m:t>d</m:t>
        </m:r>
        <m:r>
          <m:t>N</m:t>
        </m:r>
        <m:r>
          <m:t>i</m:t>
        </m:r>
        <m:r>
          <m:t>n</m:t>
        </m:r>
        <m:r>
          <m:t>e</m:t>
        </m:r>
        <m:r>
          <m:t>t</m:t>
        </m:r>
        <m:r>
          <m:t>e</m:t>
        </m:r>
        <m:r>
          <m:t>e</m:t>
        </m:r>
        <m:r>
          <m:t>n</m:t>
        </m:r>
        <m:r>
          <m:t>D</m:t>
        </m:r>
        <m:r>
          <m:t>o</m:t>
        </m:r>
        <m:r>
          <m:t>l</m:t>
        </m:r>
        <m:r>
          <m:t>l</m:t>
        </m:r>
        <m:r>
          <m:t>a</m:t>
        </m:r>
        <m:r>
          <m:t>r</m:t>
        </m:r>
        <m:r>
          <m:t>s</m:t>
        </m:r>
        <m:r>
          <m:t>a</m:t>
        </m:r>
        <m:r>
          <m:t>n</m:t>
        </m:r>
        <m:r>
          <m:t>d</m:t>
        </m:r>
        <m:r>
          <m:t>S</m:t>
        </m:r>
        <m:r>
          <m:t>i</m:t>
        </m:r>
        <m:r>
          <m:t>x</m:t>
        </m:r>
        <m:r>
          <m:t>t</m:t>
        </m:r>
        <m:r>
          <m:t>y</m:t>
        </m:r>
        <m:r>
          <m:rPr>
            <m:sty m:val="p"/>
          </m:rPr>
          <m:t>−</m:t>
        </m:r>
        <m:r>
          <m:t>T</m:t>
        </m:r>
        <m:r>
          <m:t>h</m:t>
        </m:r>
        <m:r>
          <m:t>r</m:t>
        </m:r>
        <m:r>
          <m:t>e</m:t>
        </m:r>
        <m:r>
          <m:t>e</m:t>
        </m:r>
        <m:r>
          <m:t>C</m:t>
        </m:r>
        <m:r>
          <m:t>e</m:t>
        </m:r>
        <m:r>
          <m:t>n</m:t>
        </m:r>
        <m:r>
          <m:t>t</m:t>
        </m:r>
        <m:r>
          <m:t>s</m:t>
        </m:r>
        <m:r>
          <m:rPr>
            <m:sty m:val="p"/>
          </m:rPr>
          <m:t>(</m:t>
        </m:r>
      </m:oMath>
      <w:r>
        <w:t xml:space="preserve">319.63)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check or wire transfer of immediately available funds.</w:t>
      </w:r>
    </w:p>
    <w:p>
      <w:pPr>
        <w:pStyle w:val="BodyText"/>
      </w:pPr>
      <w:r>
        <w:t xml:space="preserve">1.3</w:t>
      </w:r>
      <w:r>
        <w:t xml:space="preserve"> </w:t>
      </w:r>
      <w:r>
        <w:rPr>
          <w:b/>
          <w:bCs/>
        </w:rPr>
        <w:t xml:space="preserve">Issuance.</w:t>
      </w:r>
      <w:r>
        <w:t xml:space="preserve"> </w:t>
      </w:r>
      <w:r>
        <w:t xml:space="preserve">Upon receipt of the Purchase Price, the Company shall issue Stock Certificate No. CS-001-R-A to Purchaser representing the Refresh Shares. Together with the previously issued Stock Certificate No. CS-001-R (3,150,000 shares), Purchaser's total holdings of Common Stock as of the Effective Date shall be 3,291,428 shares.</w:t>
      </w:r>
    </w:p>
    <w:p>
      <w:pPr>
        <w:pStyle w:val="BodyText"/>
      </w:pPr>
      <w:r>
        <w:t xml:space="preserve">1.4</w:t>
      </w:r>
      <w:r>
        <w:t xml:space="preserve"> </w:t>
      </w:r>
      <w:r>
        <w:rPr>
          <w:b/>
          <w:bCs/>
        </w:rPr>
        <w:t xml:space="preserve">Self-Transaction Ratification.</w:t>
      </w:r>
      <w:r>
        <w:t xml:space="preserve"> </w:t>
      </w:r>
      <w:r>
        <w:t xml:space="preserve">The parties acknowledge that, as Purchaser is also serving as Sole Director of the Company on the Effective Date, this Agreement constitutes a transaction between the Company and a director of the Company. This Agreement has been ratified by the written consent of all stockholders of the Company entitled to vote thereon, satisfying the requirements of Section 144 of the Delaware General Corporation Law.</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Refresh Shares shall vest as follows: twenty-five percent (25%) of the Refresh Shares shall vest on the one (1) year anniversary of the Effective Date (the "</w:t>
      </w:r>
      <w:r>
        <w:rPr>
          <w:b/>
          <w:bCs/>
        </w:rPr>
        <w:t xml:space="preserve">Cliff Date</w:t>
      </w:r>
      <w:r>
        <w:t xml:space="preserve">"), and the remaining seventy-five percent (75%) shall vest in equal monthly installments over the following thirty-six (36) months, such that one hundred percent (100%) of the Refresh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for the Refresh Shares is the Effective Date. The vesting of the original 3,150,000 shares granted under the Original RSPA shall continue under the schedule established therein and is not modified by this Agreement.</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Refresh Shares, all unvested Refresh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Refresh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Refresh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Refresh Shares have not been registered under the Securities Act of 1933, as amended, or any state securities laws, and may not be sold or transferred except pursuant to an effective registration statement or an exemption therefrom.</w:t>
      </w:r>
    </w:p>
    <w:p>
      <w:pPr>
        <w:pStyle w:val="BodyText"/>
      </w:pPr>
      <w:r>
        <w:t xml:space="preserve">4.3</w:t>
      </w:r>
      <w:r>
        <w:t xml:space="preserve"> </w:t>
      </w:r>
      <w:r>
        <w:rPr>
          <w:b/>
          <w:bCs/>
        </w:rPr>
        <w:t xml:space="preserve">Legend.</w:t>
      </w:r>
      <w:r>
        <w:t xml:space="preserve"> </w:t>
      </w:r>
      <w:r>
        <w:t xml:space="preserve">The Stock Certificate representing the Refresh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(REFRESH GRANT), A COPY OF WHICH IS ON FILE AT THE PRINCIPAL OFFICE OF THE COMPANY.</w:t>
      </w:r>
    </w:p>
    <w:p>
      <w:r>
        <w:pict>
          <v:rect style="width:0;height:1.5pt" o:hralign="center" o:hrstd="t" o:hr="t"/>
        </w:pict>
      </w:r>
    </w:p>
    <w:bookmarkEnd w:id="13"/>
    <w:bookmarkStart w:id="14" w:name="article-5-section-83b-election"/>
    <w:p>
      <w:pPr>
        <w:pStyle w:val="Heading2"/>
      </w:pPr>
      <w:r>
        <w:t xml:space="preserve">ARTICLE 5. SECTION 83(b) ELECTION</w:t>
      </w:r>
    </w:p>
    <w:p>
      <w:pPr>
        <w:pStyle w:val="FirstParagraph"/>
      </w:pPr>
      <w:r>
        <w:t xml:space="preserve">5.1</w:t>
      </w:r>
      <w:r>
        <w:t xml:space="preserve"> </w:t>
      </w:r>
      <w:r>
        <w:rPr>
          <w:b/>
          <w:bCs/>
        </w:rPr>
        <w:t xml:space="preserve">Acknowledgment.</w:t>
      </w:r>
      <w:r>
        <w:t xml:space="preserve"> </w:t>
      </w:r>
      <w:r>
        <w:t xml:space="preserve">Purchaser acknowledges that, under Section 83 of the Internal Revenue Code, the excess (if any) of the fair market value of the Refresh Shares on the date such Refresh Shares vest over the amount paid therefor will be taxable to Purchaser as ordinary compensation income in the year of vesting.</w:t>
      </w:r>
    </w:p>
    <w:p>
      <w:pPr>
        <w:pStyle w:val="BodyText"/>
      </w:pPr>
      <w:r>
        <w:t xml:space="preserve">5.2</w:t>
      </w:r>
      <w:r>
        <w:t xml:space="preserve"> </w:t>
      </w:r>
      <w:r>
        <w:rPr>
          <w:b/>
          <w:bCs/>
        </w:rPr>
        <w:t xml:space="preserve">Election.</w:t>
      </w:r>
      <w:r>
        <w:t xml:space="preserve"> </w:t>
      </w:r>
      <w:r>
        <w:t xml:space="preserve">Purchaser may elect, pursuant to Section 83(b) of the Code, to be taxed currently on the excess (if any) of the fair market value of the Refresh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5.3</w:t>
      </w:r>
      <w:r>
        <w:t xml:space="preserve"> </w:t>
      </w:r>
      <w:r>
        <w:rPr>
          <w:b/>
          <w:bCs/>
        </w:rPr>
        <w:t xml:space="preserve">Purchaser's Responsibility.</w:t>
      </w:r>
      <w:r>
        <w:t xml:space="preserve"> </w:t>
      </w:r>
      <w:r>
        <w:t xml:space="preserve">PURCHASER ACKNOWLEDGES THAT IT IS PURCHASER'S SOLE RESPONSIBILITY, AND NOT THE COMPANY'S, TO TIMELY FILE THE 83(b) ELECTION FOR THE REFRESH SHARES.</w:t>
      </w:r>
    </w:p>
    <w:p>
      <w:pPr>
        <w:pStyle w:val="BodyText"/>
      </w:pPr>
      <w:r>
        <w:t xml:space="preserve">5.4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4"/>
    <w:bookmarkStart w:id="15" w:name="article-6-miscellaneous"/>
    <w:p>
      <w:pPr>
        <w:pStyle w:val="Heading2"/>
      </w:pPr>
      <w:r>
        <w:t xml:space="preserve">ARTICLE 6. MISCELLANEOUS</w:t>
      </w:r>
    </w:p>
    <w:p>
      <w:pPr>
        <w:pStyle w:val="FirstParagraph"/>
      </w:pPr>
      <w:r>
        <w:t xml:space="preserve">6.1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6.2</w:t>
      </w:r>
      <w:r>
        <w:t xml:space="preserve"> </w:t>
      </w:r>
      <w:r>
        <w:rPr>
          <w:b/>
          <w:bCs/>
        </w:rPr>
        <w:t xml:space="preserve">Entire Agreement.</w:t>
      </w:r>
      <w:r>
        <w:t xml:space="preserve"> </w:t>
      </w:r>
      <w:r>
        <w:t xml:space="preserve">This Agreement, together with the Original RSPA, the Co-Founder Agreement v3, the CIIAA, and the Stock Certificates, constitutes the entire agreement between the parties with respect to the subject matter hereof.</w:t>
      </w:r>
    </w:p>
    <w:p>
      <w:pPr>
        <w:pStyle w:val="BodyText"/>
      </w:pPr>
      <w:r>
        <w:t xml:space="preserve">6.3</w:t>
      </w:r>
      <w:r>
        <w:t xml:space="preserve"> </w:t>
      </w:r>
      <w:r>
        <w:rPr>
          <w:b/>
          <w:bCs/>
        </w:rPr>
        <w:t xml:space="preserve">Counterparts.</w:t>
      </w:r>
      <w:r>
        <w:t xml:space="preserve"> </w:t>
      </w:r>
      <w:r>
        <w:t xml:space="preserve">This Agreement may be executed in counterparts, including by electronic signature.</w:t>
      </w:r>
    </w:p>
    <w:p>
      <w:pPr>
        <w:pStyle w:val="BodyText"/>
      </w:pPr>
      <w:r>
        <w:t xml:space="preserve">6.4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bookmarkEnd w:id="15"/>
    <w:bookmarkStart w:id="16" w:name="schedule-a--refresh-share-details"/>
    <w:p>
      <w:pPr>
        <w:pStyle w:val="Heading2"/>
      </w:pPr>
      <w:r>
        <w:t xml:space="preserve">SCHEDULE A — REFRESH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141,428</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$319.63</w:t>
            </w:r>
          </w:p>
        </w:tc>
      </w:tr>
      <w:tr>
        <w:tc>
          <w:tcPr/>
          <w:p>
            <w:pPr>
              <w:pStyle w:val="Compact"/>
            </w:pPr>
            <w:r>
              <w:t xml:space="preserve">Stock Certificate Number</w:t>
            </w:r>
          </w:p>
        </w:tc>
        <w:tc>
          <w:tcPr/>
          <w:p>
            <w:pPr>
              <w:pStyle w:val="Compact"/>
            </w:pPr>
            <w:r>
              <w:t xml:space="preserve">CS-001-R-A</w:t>
            </w:r>
          </w:p>
        </w:tc>
      </w:tr>
      <w:tr>
        <w:tc>
          <w:tcPr/>
          <w:p>
            <w:pPr>
              <w:pStyle w:val="Compact"/>
            </w:pPr>
            <w:r>
              <w:t xml:space="preserve">Vesting Commencement Date</w:t>
            </w:r>
          </w:p>
        </w:tc>
        <w:tc>
          <w:tcPr/>
          <w:p>
            <w:pPr>
              <w:pStyle w:val="Compact"/>
            </w:pPr>
            <w:r>
              <w:t xml:space="preserve">Effective Date</w:t>
            </w:r>
          </w:p>
        </w:tc>
      </w:tr>
      <w:tr>
        <w:tc>
          <w:tcPr/>
          <w:p>
            <w:pPr>
              <w:pStyle w:val="Compact"/>
            </w:pPr>
            <w:r>
              <w:t xml:space="preserve">Total Holdings After Refresh (CS-001-R + CS-001-R-A)</w:t>
            </w:r>
          </w:p>
        </w:tc>
        <w:tc>
          <w:tcPr/>
          <w:p>
            <w:pPr>
              <w:pStyle w:val="Compact"/>
            </w:pPr>
            <w:r>
              <w:t xml:space="preserve">3,291,428 shares</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(Refresh Grant)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rPr>
          <w:i/>
          <w:iCs/>
        </w:rPr>
        <w:t xml:space="preserve">individually</w:t>
      </w:r>
    </w:p>
    <w:p>
      <w:pPr>
        <w:pStyle w:val="BodyText"/>
      </w:pPr>
      <w:r>
        <w:t xml:space="preserve">Date: _____________</w:t>
      </w:r>
    </w:p>
    <w:p>
      <w:pPr>
        <w:pStyle w:val="BodyText"/>
      </w:pPr>
      <w:r>
        <w:t xml:space="preserve">Address: 4852 Ocean View Blvd, La Cañada Flintridge, CA 91011</w:t>
      </w:r>
    </w:p>
    <w:p>
      <w:pPr>
        <w:pStyle w:val="BodyText"/>
      </w:pPr>
      <w:r>
        <w:t xml:space="preserve">Taxpayer Identification Number (SSN): 852-55-1526</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2026-05-07T05:39:46Z</dcterms:created>
  <dcterms:modified xsi:type="dcterms:W3CDTF">2026-05-07T05:39:46Z</dcterms:modified>
</cp:coreProperties>
</file>

<file path=docProps/custom.xml><?xml version="1.0" encoding="utf-8"?>
<Properties xmlns="http://schemas.openxmlformats.org/officeDocument/2006/custom-properties" xmlns:vt="http://schemas.openxmlformats.org/officeDocument/2006/docPropsVTypes"/>
</file>