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c02708708243aaa699cd7b0b3f84eeb0d8d1249"/>
    <w:p>
      <w:pPr>
        <w:pStyle w:val="Heading1"/>
      </w:pPr>
      <w:r>
        <w:t xml:space="preserve">RESTRICTED STOCK PURCHASE AGREEMENT (REFRESH GRANT)</w:t>
      </w:r>
    </w:p>
    <w:bookmarkStart w:id="9" w:name="pheeew-inc"/>
    <w:p>
      <w:pPr>
        <w:pStyle w:val="Heading2"/>
      </w:pPr>
      <w:r>
        <w:t xml:space="preserve">PHEEEW, INC.</w:t>
      </w:r>
    </w:p>
    <w:p>
      <w:pPr>
        <w:pStyle w:val="FirstParagraph"/>
      </w:pPr>
      <w:r>
        <w:rPr>
          <w:i/>
          <w:iCs/>
        </w:rPr>
        <w:t xml:space="preserve">A Delaware Corporation</w:t>
      </w:r>
    </w:p>
    <w:p>
      <w:r>
        <w:pict>
          <v:rect style="width:0;height:1.5pt" o:hralign="center" o:hrstd="t" o:hr="t"/>
        </w:pict>
      </w:r>
    </w:p>
    <w:p>
      <w:pPr>
        <w:pStyle w:val="FirstParagraph"/>
      </w:pPr>
      <w:r>
        <w:t xml:space="preserve">This Restricted Stock Purchase Agreement (Refresh Grant) (this "</w:t>
      </w:r>
      <w:r>
        <w:rPr>
          <w:b/>
          <w:bCs/>
        </w:rPr>
        <w:t xml:space="preserve">Agreement</w:t>
      </w:r>
      <w:r>
        <w:t xml:space="preserve">") is made and entered into as of</w:t>
      </w:r>
      <w:r>
        <w:t xml:space="preserve"> </w:t>
      </w:r>
      <w:r>
        <w:rPr>
          <w:b/>
          <w:bCs/>
        </w:rPr>
        <w:t xml:space="preserve">[DATE]</w:t>
      </w:r>
      <w:r>
        <w:t xml:space="preserve"> </w:t>
      </w:r>
      <w:r>
        <w:t xml:space="preserve">(the "</w:t>
      </w:r>
      <w:r>
        <w:rPr>
          <w:b/>
          <w:bCs/>
        </w:rPr>
        <w:t xml:space="preserve">Effective Date</w:t>
      </w:r>
      <w:r>
        <w:t xml:space="preserve">"), by and between</w:t>
      </w:r>
      <w:r>
        <w:t xml:space="preserve"> </w:t>
      </w:r>
      <w:r>
        <w:rPr>
          <w:b/>
          <w:bCs/>
        </w:rPr>
        <w:t xml:space="preserve">Pheeew, Inc.</w:t>
      </w:r>
      <w:r>
        <w:t xml:space="preserve">, a Delaware corporation (the "</w:t>
      </w:r>
      <w:r>
        <w:rPr>
          <w:b/>
          <w:bCs/>
        </w:rPr>
        <w:t xml:space="preserve">Company</w:t>
      </w:r>
      <w:r>
        <w:t xml:space="preserve">"), and</w:t>
      </w:r>
      <w:r>
        <w:t xml:space="preserve"> </w:t>
      </w:r>
      <w:r>
        <w:rPr>
          <w:b/>
          <w:bCs/>
        </w:rPr>
        <w:t xml:space="preserve">Seungjoon Kim</w:t>
      </w:r>
      <w:r>
        <w:t xml:space="preserve"> </w:t>
      </w:r>
      <w:r>
        <w:t xml:space="preserve">("</w:t>
      </w:r>
      <w:r>
        <w:rPr>
          <w:b/>
          <w:bCs/>
        </w:rPr>
        <w:t xml:space="preserve">Purchaser</w:t>
      </w:r>
      <w:r>
        <w:t xml:space="preserve">"), an individual.</w:t>
      </w:r>
    </w:p>
    <w:p>
      <w:pPr>
        <w:pStyle w:val="BodyText"/>
      </w:pPr>
      <w:r>
        <w:t xml:space="preserve">This Agreement is supplemental to and does not amend the original Restricted Stock Purchase Agreement between the Company and Purchaser dated April 13, 2026 (the "</w:t>
      </w:r>
      <w:r>
        <w:rPr>
          <w:b/>
          <w:bCs/>
        </w:rPr>
        <w:t xml:space="preserve">Original RSPA</w:t>
      </w:r>
      <w:r>
        <w:t xml:space="preserve">"), pursuant to which Purchaser previously acquired 3,150,000 shares of the Company's Common Stock evidenced by Stock Certificate No. CS-001-R.</w:t>
      </w:r>
    </w:p>
    <w:p>
      <w:r>
        <w:pict>
          <v:rect style="width:0;height:1.5pt" o:hralign="center" o:hrstd="t" o:hr="t"/>
        </w:pict>
      </w:r>
    </w:p>
    <w:bookmarkEnd w:id="9"/>
    <w:bookmarkStart w:id="10" w:name="article-1-purchase-and-sale-of-stock"/>
    <w:p>
      <w:pPr>
        <w:pStyle w:val="Heading2"/>
      </w:pPr>
      <w:r>
        <w:t xml:space="preserve">ARTICLE 1. PURCHASE AND SALE OF STOCK</w:t>
      </w:r>
    </w:p>
    <w:p>
      <w:pPr>
        <w:pStyle w:val="FirstParagraph"/>
      </w:pPr>
      <w:r>
        <w:t xml:space="preserve">1.1</w:t>
      </w:r>
      <w:r>
        <w:t xml:space="preserve"> </w:t>
      </w:r>
      <w:r>
        <w:rPr>
          <w:b/>
          <w:bCs/>
        </w:rPr>
        <w:t xml:space="preserve">Purchase.</w:t>
      </w:r>
      <w:r>
        <w:t xml:space="preserve"> </w:t>
      </w:r>
      <w:r>
        <w:t xml:space="preserve">Subject to the terms and conditions of this Agreement, on the Effective Date Purchaser hereby purchases from the Company, and the Company hereby issues and sells to Purchaser, One Hundred Forty-One Thousand Four Hundred Twenty-Eight (141,428) additional shares of the Company's Common Stock, par value $0.0001 per share (the "</w:t>
      </w:r>
      <w:r>
        <w:rPr>
          <w:b/>
          <w:bCs/>
        </w:rPr>
        <w:t xml:space="preserve">Refresh Shares</w:t>
      </w:r>
      <w:r>
        <w:t xml:space="preserve">"), at a purchase price of</w:t>
      </w:r>
      <w:r>
        <w:t xml:space="preserve"> </w:t>
      </w:r>
      <m:oMath>
        <m:r>
          <m:t>0.00226</m:t>
        </m:r>
        <m:r>
          <m:t>p</m:t>
        </m:r>
        <m:r>
          <m:t>e</m:t>
        </m:r>
        <m:r>
          <m:t>r</m:t>
        </m:r>
        <m:r>
          <m:t>s</m:t>
        </m:r>
        <m:r>
          <m:t>h</m:t>
        </m:r>
        <m:r>
          <m:t>a</m:t>
        </m:r>
        <m:r>
          <m:t>r</m:t>
        </m:r>
        <m:r>
          <m:t>e</m:t>
        </m:r>
        <m:r>
          <m:rPr>
            <m:sty m:val="p"/>
          </m:rPr>
          <m:t>,</m:t>
        </m:r>
        <m:r>
          <m:t>f</m:t>
        </m:r>
        <m:r>
          <m:t>o</m:t>
        </m:r>
        <m:r>
          <m:t>r</m:t>
        </m:r>
        <m:r>
          <m:t>a</m:t>
        </m:r>
        <m:r>
          <m:t>n</m:t>
        </m:r>
        <m:r>
          <m:t>a</m:t>
        </m:r>
        <m:r>
          <m:t>g</m:t>
        </m:r>
        <m:r>
          <m:t>g</m:t>
        </m:r>
        <m:r>
          <m:t>r</m:t>
        </m:r>
        <m:r>
          <m:t>e</m:t>
        </m:r>
        <m:r>
          <m:t>g</m:t>
        </m:r>
        <m:r>
          <m:t>a</m:t>
        </m:r>
        <m:r>
          <m:t>t</m:t>
        </m:r>
        <m:r>
          <m:t>e</m:t>
        </m:r>
        <m:r>
          <m:t>p</m:t>
        </m:r>
        <m:r>
          <m:t>u</m:t>
        </m:r>
        <m:r>
          <m:t>r</m:t>
        </m:r>
        <m:r>
          <m:t>c</m:t>
        </m:r>
        <m:r>
          <m:t>h</m:t>
        </m:r>
        <m:r>
          <m:t>a</m:t>
        </m:r>
        <m:r>
          <m:t>s</m:t>
        </m:r>
        <m:r>
          <m:t>e</m:t>
        </m:r>
        <m:r>
          <m:t>p</m:t>
        </m:r>
        <m:r>
          <m:t>r</m:t>
        </m:r>
        <m:r>
          <m:t>i</m:t>
        </m:r>
        <m:r>
          <m:t>c</m:t>
        </m:r>
        <m:r>
          <m:t>e</m:t>
        </m:r>
        <m:r>
          <m:t>o</m:t>
        </m:r>
        <m:r>
          <m:t>f</m:t>
        </m:r>
        <m:r>
          <m:t>T</m:t>
        </m:r>
        <m:r>
          <m:t>h</m:t>
        </m:r>
        <m:r>
          <m:t>r</m:t>
        </m:r>
        <m:r>
          <m:t>e</m:t>
        </m:r>
        <m:r>
          <m:t>e</m:t>
        </m:r>
        <m:r>
          <m:t>H</m:t>
        </m:r>
        <m:r>
          <m:t>u</m:t>
        </m:r>
        <m:r>
          <m:t>n</m:t>
        </m:r>
        <m:r>
          <m:t>d</m:t>
        </m:r>
        <m:r>
          <m:t>r</m:t>
        </m:r>
        <m:r>
          <m:t>e</m:t>
        </m:r>
        <m:r>
          <m:t>d</m:t>
        </m:r>
        <m:r>
          <m:t>N</m:t>
        </m:r>
        <m:r>
          <m:t>i</m:t>
        </m:r>
        <m:r>
          <m:t>n</m:t>
        </m:r>
        <m:r>
          <m:t>e</m:t>
        </m:r>
        <m:r>
          <m:t>t</m:t>
        </m:r>
        <m:r>
          <m:t>e</m:t>
        </m:r>
        <m:r>
          <m:t>e</m:t>
        </m:r>
        <m:r>
          <m:t>n</m:t>
        </m:r>
        <m:r>
          <m:t>D</m:t>
        </m:r>
        <m:r>
          <m:t>o</m:t>
        </m:r>
        <m:r>
          <m:t>l</m:t>
        </m:r>
        <m:r>
          <m:t>l</m:t>
        </m:r>
        <m:r>
          <m:t>a</m:t>
        </m:r>
        <m:r>
          <m:t>r</m:t>
        </m:r>
        <m:r>
          <m:t>s</m:t>
        </m:r>
        <m:r>
          <m:t>a</m:t>
        </m:r>
        <m:r>
          <m:t>n</m:t>
        </m:r>
        <m:r>
          <m:t>d</m:t>
        </m:r>
        <m:r>
          <m:t>S</m:t>
        </m:r>
        <m:r>
          <m:t>i</m:t>
        </m:r>
        <m:r>
          <m:t>x</m:t>
        </m:r>
        <m:r>
          <m:t>t</m:t>
        </m:r>
        <m:r>
          <m:t>y</m:t>
        </m:r>
        <m:r>
          <m:rPr>
            <m:sty m:val="p"/>
          </m:rPr>
          <m:t>−</m:t>
        </m:r>
        <m:r>
          <m:t>T</m:t>
        </m:r>
        <m:r>
          <m:t>h</m:t>
        </m:r>
        <m:r>
          <m:t>r</m:t>
        </m:r>
        <m:r>
          <m:t>e</m:t>
        </m:r>
        <m:r>
          <m:t>e</m:t>
        </m:r>
        <m:r>
          <m:t>C</m:t>
        </m:r>
        <m:r>
          <m:t>e</m:t>
        </m:r>
        <m:r>
          <m:t>n</m:t>
        </m:r>
        <m:r>
          <m:t>t</m:t>
        </m:r>
        <m:r>
          <m:t>s</m:t>
        </m:r>
        <m:r>
          <m:rPr>
            <m:sty m:val="p"/>
          </m:rPr>
          <m:t>(</m:t>
        </m:r>
      </m:oMath>
      <w:r>
        <w:t xml:space="preserve">319.63) (the "</w:t>
      </w:r>
      <w:r>
        <w:rPr>
          <w:b/>
          <w:bCs/>
        </w:rPr>
        <w:t xml:space="preserve">Purchase Price</w:t>
      </w:r>
      <w:r>
        <w:t xml:space="preserve">").</w:t>
      </w:r>
    </w:p>
    <w:p>
      <w:pPr>
        <w:pStyle w:val="BodyText"/>
      </w:pPr>
      <w:r>
        <w:t xml:space="preserve">1.2</w:t>
      </w:r>
      <w:r>
        <w:t xml:space="preserve"> </w:t>
      </w:r>
      <w:r>
        <w:rPr>
          <w:b/>
          <w:bCs/>
        </w:rPr>
        <w:t xml:space="preserve">Payment.</w:t>
      </w:r>
      <w:r>
        <w:t xml:space="preserve"> </w:t>
      </w:r>
      <w:r>
        <w:t xml:space="preserve">The Purchase Price shall be paid by Purchaser to the Company on or before the Effective Date by check or wire transfer of immediately available funds.</w:t>
      </w:r>
    </w:p>
    <w:p>
      <w:pPr>
        <w:pStyle w:val="BodyText"/>
      </w:pPr>
      <w:r>
        <w:t xml:space="preserve">1.3</w:t>
      </w:r>
      <w:r>
        <w:t xml:space="preserve"> </w:t>
      </w:r>
      <w:r>
        <w:rPr>
          <w:b/>
          <w:bCs/>
        </w:rPr>
        <w:t xml:space="preserve">Issuance.</w:t>
      </w:r>
      <w:r>
        <w:t xml:space="preserve"> </w:t>
      </w:r>
      <w:r>
        <w:t xml:space="preserve">Upon receipt of the Purchase Price, the Company shall issue Stock Certificate No. CS-001-R-A to Purchaser representing the Refresh Shares. Together with the previously issued Stock Certificate No. CS-001-R (3,150,000 shares), Purchaser's total holdings of Common Stock as of the Effective Date shall be 3,291,428 shares.</w:t>
      </w:r>
    </w:p>
    <w:p>
      <w:pPr>
        <w:pStyle w:val="BodyText"/>
      </w:pPr>
      <w:r>
        <w:t xml:space="preserve">1.4</w:t>
      </w:r>
      <w:r>
        <w:t xml:space="preserve"> </w:t>
      </w:r>
      <w:r>
        <w:rPr>
          <w:b/>
          <w:bCs/>
        </w:rPr>
        <w:t xml:space="preserve">Self-Transaction Ratification.</w:t>
      </w:r>
      <w:r>
        <w:t xml:space="preserve"> </w:t>
      </w:r>
      <w:r>
        <w:t xml:space="preserve">The parties acknowledge that, as Purchaser is also serving as Sole Director of the Company on the Effective Date, this Agreement constitutes a transaction between the Company and a director of the Company. This Agreement has been ratified by the written consent of all stockholders of the Company entitled to vote thereon, satisfying the requirements of Section 144 of the Delaware General Corporation Law.</w:t>
      </w:r>
    </w:p>
    <w:p>
      <w:r>
        <w:pict>
          <v:rect style="width:0;height:1.5pt" o:hralign="center" o:hrstd="t" o:hr="t"/>
        </w:pict>
      </w:r>
    </w:p>
    <w:bookmarkEnd w:id="10"/>
    <w:bookmarkStart w:id="11" w:name="article-2-vesting"/>
    <w:p>
      <w:pPr>
        <w:pStyle w:val="Heading2"/>
      </w:pPr>
      <w:r>
        <w:t xml:space="preserve">ARTICLE 2. VESTING</w:t>
      </w:r>
    </w:p>
    <w:p>
      <w:pPr>
        <w:pStyle w:val="FirstParagraph"/>
      </w:pPr>
      <w:r>
        <w:t xml:space="preserve">2.1</w:t>
      </w:r>
      <w:r>
        <w:t xml:space="preserve"> </w:t>
      </w:r>
      <w:r>
        <w:rPr>
          <w:b/>
          <w:bCs/>
        </w:rPr>
        <w:t xml:space="preserve">Vesting Schedule.</w:t>
      </w:r>
      <w:r>
        <w:t xml:space="preserve"> </w:t>
      </w:r>
      <w:r>
        <w:t xml:space="preserve">The Refresh Shares shall vest as follows: twenty-five percent (25%) of the Refresh Shares shall vest on the one (1) year anniversary of the Effective Date (the "</w:t>
      </w:r>
      <w:r>
        <w:rPr>
          <w:b/>
          <w:bCs/>
        </w:rPr>
        <w:t xml:space="preserve">Cliff Date</w:t>
      </w:r>
      <w:r>
        <w:t xml:space="preserve">"), and the remaining seventy-five percent (75%) shall vest in equal monthly installments over the following thirty-six (36) months, such that one hundred percent (100%) of the Refresh Shares shall be fully vested on the four (4) year anniversary of the Effective Date, subject to Purchaser's continuous service to the Company.</w:t>
      </w:r>
    </w:p>
    <w:p>
      <w:pPr>
        <w:pStyle w:val="BodyText"/>
      </w:pPr>
      <w:r>
        <w:t xml:space="preserve">2.2</w:t>
      </w:r>
      <w:r>
        <w:t xml:space="preserve"> </w:t>
      </w:r>
      <w:r>
        <w:rPr>
          <w:b/>
          <w:bCs/>
        </w:rPr>
        <w:t xml:space="preserve">Vesting Commencement Date.</w:t>
      </w:r>
      <w:r>
        <w:t xml:space="preserve"> </w:t>
      </w:r>
      <w:r>
        <w:t xml:space="preserve">The Vesting Commencement Date for the Refresh Shares is the Effective Date. The vesting of the original 3,150,000 shares granted under the Original RSPA shall continue under the schedule established therein and is not modified by this Agreement.</w:t>
      </w:r>
    </w:p>
    <w:p>
      <w:pPr>
        <w:pStyle w:val="BodyText"/>
      </w:pPr>
      <w:r>
        <w:t xml:space="preserve">2.3</w:t>
      </w:r>
      <w:r>
        <w:t xml:space="preserve"> </w:t>
      </w:r>
      <w:r>
        <w:rPr>
          <w:b/>
          <w:bCs/>
        </w:rPr>
        <w:t xml:space="preserve">Termination of Service.</w:t>
      </w:r>
      <w:r>
        <w:t xml:space="preserve"> </w:t>
      </w:r>
      <w:r>
        <w:t xml:space="preserve">If Purchaser's continuous service to the Company terminates for any reason prior to the full vesting of the Refresh Shares, all unvested Refresh Shares shall be subject to the Repurchase Option set forth in Article 3.</w:t>
      </w:r>
    </w:p>
    <w:p>
      <w:r>
        <w:pict>
          <v:rect style="width:0;height:1.5pt" o:hralign="center" o:hrstd="t" o:hr="t"/>
        </w:pict>
      </w:r>
    </w:p>
    <w:bookmarkEnd w:id="11"/>
    <w:bookmarkStart w:id="12" w:name="article-3-repurchase-option"/>
    <w:p>
      <w:pPr>
        <w:pStyle w:val="Heading2"/>
      </w:pPr>
      <w:r>
        <w:t xml:space="preserve">ARTICLE 3. REPURCHASE OPTION</w:t>
      </w:r>
    </w:p>
    <w:p>
      <w:pPr>
        <w:pStyle w:val="FirstParagraph"/>
      </w:pPr>
      <w:r>
        <w:t xml:space="preserve">3.1</w:t>
      </w:r>
      <w:r>
        <w:t xml:space="preserve"> </w:t>
      </w:r>
      <w:r>
        <w:rPr>
          <w:b/>
          <w:bCs/>
        </w:rPr>
        <w:t xml:space="preserve">Repurchase Right.</w:t>
      </w:r>
      <w:r>
        <w:t xml:space="preserve"> </w:t>
      </w:r>
      <w:r>
        <w:t xml:space="preserve">The Company shall have the option (but not the obligation) to repurchase any or all unvested Refresh Shares (the "</w:t>
      </w:r>
      <w:r>
        <w:rPr>
          <w:b/>
          <w:bCs/>
        </w:rPr>
        <w:t xml:space="preserve">Repurchase Option</w:t>
      </w:r>
      <w:r>
        <w:t xml:space="preserve">") at the original Purchase Price of $0.00226 per share, exercisable for a period of ninety (90) days following the date of termination of Purchaser's continuous service to the Company.</w:t>
      </w:r>
    </w:p>
    <w:p>
      <w:r>
        <w:pict>
          <v:rect style="width:0;height:1.5pt" o:hralign="center" o:hrstd="t" o:hr="t"/>
        </w:pict>
      </w:r>
    </w:p>
    <w:bookmarkEnd w:id="12"/>
    <w:bookmarkStart w:id="13" w:name="article-4-restrictions-on-transfer"/>
    <w:p>
      <w:pPr>
        <w:pStyle w:val="Heading2"/>
      </w:pPr>
      <w:r>
        <w:t xml:space="preserve">ARTICLE 4. RESTRICTIONS ON TRANSFER</w:t>
      </w:r>
    </w:p>
    <w:p>
      <w:pPr>
        <w:pStyle w:val="FirstParagraph"/>
      </w:pPr>
      <w:r>
        <w:t xml:space="preserve">4.1</w:t>
      </w:r>
      <w:r>
        <w:t xml:space="preserve"> </w:t>
      </w:r>
      <w:r>
        <w:rPr>
          <w:b/>
          <w:bCs/>
        </w:rPr>
        <w:t xml:space="preserve">General Restriction.</w:t>
      </w:r>
      <w:r>
        <w:t xml:space="preserve"> </w:t>
      </w:r>
      <w:r>
        <w:t xml:space="preserve">Purchaser shall not sell, transfer, assign, pledge, hypothecate, or otherwise dispose of any of the Refresh Shares, except as expressly permitted by this Agreement, the Company's Bylaws, and the Co-Founder Agreement v3 (including its right of first refusal, drag-along, and tag-along provisions).</w:t>
      </w:r>
    </w:p>
    <w:p>
      <w:pPr>
        <w:pStyle w:val="BodyText"/>
      </w:pPr>
      <w:r>
        <w:t xml:space="preserve">4.2</w:t>
      </w:r>
      <w:r>
        <w:t xml:space="preserve"> </w:t>
      </w:r>
      <w:r>
        <w:rPr>
          <w:b/>
          <w:bCs/>
        </w:rPr>
        <w:t xml:space="preserve">Securities Law Compliance.</w:t>
      </w:r>
      <w:r>
        <w:t xml:space="preserve"> </w:t>
      </w:r>
      <w:r>
        <w:t xml:space="preserve">Purchaser acknowledges that the Refresh Shares have not been registered under the Securities Act of 1933, as amended, or any state securities laws, and may not be sold or transferred except pursuant to an effective registration statement or an exemption therefrom.</w:t>
      </w:r>
    </w:p>
    <w:p>
      <w:pPr>
        <w:pStyle w:val="BodyText"/>
      </w:pPr>
      <w:r>
        <w:t xml:space="preserve">4.3</w:t>
      </w:r>
      <w:r>
        <w:t xml:space="preserve"> </w:t>
      </w:r>
      <w:r>
        <w:rPr>
          <w:b/>
          <w:bCs/>
        </w:rPr>
        <w:t xml:space="preserve">Legend.</w:t>
      </w:r>
      <w:r>
        <w:t xml:space="preserve"> </w:t>
      </w:r>
      <w:r>
        <w:t xml:space="preserve">The Stock Certificate representing the Refresh Shares shall bear the following legend:</w:t>
      </w:r>
    </w:p>
    <w:p>
      <w:pPr>
        <w:pStyle w:val="BlockText"/>
      </w:pPr>
      <w:r>
        <w:t xml:space="preserve">THE SHARES REPRESENTED HEREBY HAVE NOT BEEN REGISTERED UNDER THE SECURITIES ACT OF 1933 AND MAY NOT BE SOLD OR TRANSFERRED EXCEPT PURSUANT TO AN EFFECTIVE REGISTRATION STATEMENT OR AN EXEMPTION FROM REGISTRATION. THE SHARES ARE SUBJECT TO A RESTRICTED STOCK PURCHASE AGREEMENT (REFRESH GRANT), A COPY OF WHICH IS ON FILE AT THE PRINCIPAL OFFICE OF THE COMPANY.</w:t>
      </w:r>
    </w:p>
    <w:p>
      <w:r>
        <w:pict>
          <v:rect style="width:0;height:1.5pt" o:hralign="center" o:hrstd="t" o:hr="t"/>
        </w:pict>
      </w:r>
    </w:p>
    <w:bookmarkEnd w:id="13"/>
    <w:bookmarkStart w:id="14" w:name="article-5-section-83b-election"/>
    <w:p>
      <w:pPr>
        <w:pStyle w:val="Heading2"/>
      </w:pPr>
      <w:r>
        <w:t xml:space="preserve">ARTICLE 5. SECTION 83(b) ELECTION</w:t>
      </w:r>
    </w:p>
    <w:p>
      <w:pPr>
        <w:pStyle w:val="FirstParagraph"/>
      </w:pPr>
      <w:r>
        <w:t xml:space="preserve">5.1</w:t>
      </w:r>
      <w:r>
        <w:t xml:space="preserve"> </w:t>
      </w:r>
      <w:r>
        <w:rPr>
          <w:b/>
          <w:bCs/>
        </w:rPr>
        <w:t xml:space="preserve">Acknowledgment.</w:t>
      </w:r>
      <w:r>
        <w:t xml:space="preserve"> </w:t>
      </w:r>
      <w:r>
        <w:t xml:space="preserve">Purchaser acknowledges that, under Section 83 of the Internal Revenue Code, the excess (if any) of the fair market value of the Refresh Shares on the date such Refresh Shares vest over the amount paid therefor will be taxable to Purchaser as ordinary compensation income in the year of vesting.</w:t>
      </w:r>
    </w:p>
    <w:p>
      <w:pPr>
        <w:pStyle w:val="BodyText"/>
      </w:pPr>
      <w:r>
        <w:t xml:space="preserve">5.2</w:t>
      </w:r>
      <w:r>
        <w:t xml:space="preserve"> </w:t>
      </w:r>
      <w:r>
        <w:rPr>
          <w:b/>
          <w:bCs/>
        </w:rPr>
        <w:t xml:space="preserve">Election.</w:t>
      </w:r>
      <w:r>
        <w:t xml:space="preserve"> </w:t>
      </w:r>
      <w:r>
        <w:t xml:space="preserve">Purchaser may elect, pursuant to Section 83(b) of the Code, to be taxed currently on the excess (if any) of the fair market value of the Refresh Shares on the Effective Date over the Purchase Price (which excess is currently expected to be zero). To make such election, Purchaser must file the election with the Internal Revenue Service within thirty (30) days of the Effective Date.</w:t>
      </w:r>
    </w:p>
    <w:p>
      <w:pPr>
        <w:pStyle w:val="BodyText"/>
      </w:pPr>
      <w:r>
        <w:t xml:space="preserve">5.3</w:t>
      </w:r>
      <w:r>
        <w:t xml:space="preserve"> </w:t>
      </w:r>
      <w:r>
        <w:rPr>
          <w:b/>
          <w:bCs/>
        </w:rPr>
        <w:t xml:space="preserve">Purchaser's Responsibility.</w:t>
      </w:r>
      <w:r>
        <w:t xml:space="preserve"> </w:t>
      </w:r>
      <w:r>
        <w:t xml:space="preserve">PURCHASER ACKNOWLEDGES THAT IT IS PURCHASER'S SOLE RESPONSIBILITY, AND NOT THE COMPANY'S, TO TIMELY FILE THE 83(b) ELECTION FOR THE REFRESH SHARES.</w:t>
      </w:r>
    </w:p>
    <w:p>
      <w:pPr>
        <w:pStyle w:val="BodyText"/>
      </w:pPr>
      <w:r>
        <w:t xml:space="preserve">5.4</w:t>
      </w:r>
      <w:r>
        <w:t xml:space="preserve"> </w:t>
      </w:r>
      <w:r>
        <w:rPr>
          <w:b/>
          <w:bCs/>
        </w:rPr>
        <w:t xml:space="preserve">Furnishing Copy to Company.</w:t>
      </w:r>
      <w:r>
        <w:t xml:space="preserve"> </w:t>
      </w:r>
      <w:r>
        <w:t xml:space="preserve">Purchaser shall furnish a copy of any 83(b) election filed by Purchaser to the Company within five (5) business days of mailing the election to the Internal Revenue Service.</w:t>
      </w:r>
    </w:p>
    <w:p>
      <w:r>
        <w:pict>
          <v:rect style="width:0;height:1.5pt" o:hralign="center" o:hrstd="t" o:hr="t"/>
        </w:pict>
      </w:r>
    </w:p>
    <w:bookmarkEnd w:id="14"/>
    <w:bookmarkStart w:id="15" w:name="article-6-miscellaneous"/>
    <w:p>
      <w:pPr>
        <w:pStyle w:val="Heading2"/>
      </w:pPr>
      <w:r>
        <w:t xml:space="preserve">ARTICLE 6. MISCELLANEOUS</w:t>
      </w:r>
    </w:p>
    <w:p>
      <w:pPr>
        <w:pStyle w:val="FirstParagraph"/>
      </w:pPr>
      <w:r>
        <w:t xml:space="preserve">6.1</w:t>
      </w:r>
      <w:r>
        <w:t xml:space="preserve"> </w:t>
      </w:r>
      <w:r>
        <w:rPr>
          <w:b/>
          <w:bCs/>
        </w:rPr>
        <w:t xml:space="preserve">Governing Law.</w:t>
      </w:r>
      <w:r>
        <w:t xml:space="preserve"> </w:t>
      </w:r>
      <w:r>
        <w:t xml:space="preserve">This Agreement shall be governed by and construed in accordance with the laws of the State of Delaware, without regard to its conflicts of law principles.</w:t>
      </w:r>
    </w:p>
    <w:p>
      <w:pPr>
        <w:pStyle w:val="BodyText"/>
      </w:pPr>
      <w:r>
        <w:t xml:space="preserve">6.2</w:t>
      </w:r>
      <w:r>
        <w:t xml:space="preserve"> </w:t>
      </w:r>
      <w:r>
        <w:rPr>
          <w:b/>
          <w:bCs/>
        </w:rPr>
        <w:t xml:space="preserve">Entire Agreement.</w:t>
      </w:r>
      <w:r>
        <w:t xml:space="preserve"> </w:t>
      </w:r>
      <w:r>
        <w:t xml:space="preserve">This Agreement, together with the Original RSPA, the Co-Founder Agreement v3, the CIIAA, and the Stock Certificates, constitutes the entire agreement between the parties with respect to the subject matter hereof.</w:t>
      </w:r>
    </w:p>
    <w:p>
      <w:pPr>
        <w:pStyle w:val="BodyText"/>
      </w:pPr>
      <w:r>
        <w:t xml:space="preserve">6.3</w:t>
      </w:r>
      <w:r>
        <w:t xml:space="preserve"> </w:t>
      </w:r>
      <w:r>
        <w:rPr>
          <w:b/>
          <w:bCs/>
        </w:rPr>
        <w:t xml:space="preserve">Counterparts.</w:t>
      </w:r>
      <w:r>
        <w:t xml:space="preserve"> </w:t>
      </w:r>
      <w:r>
        <w:t xml:space="preserve">This Agreement may be executed in counterparts, including by electronic signature.</w:t>
      </w:r>
    </w:p>
    <w:p>
      <w:pPr>
        <w:pStyle w:val="BodyText"/>
      </w:pPr>
      <w:r>
        <w:t xml:space="preserve">6.4</w:t>
      </w:r>
      <w:r>
        <w:t xml:space="preserve"> </w:t>
      </w:r>
      <w:r>
        <w:rPr>
          <w:b/>
          <w:bCs/>
        </w:rPr>
        <w:t xml:space="preserve">Severability.</w:t>
      </w:r>
      <w:r>
        <w:t xml:space="preserve"> </w:t>
      </w:r>
      <w:r>
        <w:t xml:space="preserve">If any provision of this Agreement is held to be invalid or unenforceable, the remaining provisions shall continue in full force and effect.</w:t>
      </w:r>
    </w:p>
    <w:p>
      <w:r>
        <w:pict>
          <v:rect style="width:0;height:1.5pt" o:hralign="center" o:hrstd="t" o:hr="t"/>
        </w:pict>
      </w:r>
    </w:p>
    <w:bookmarkEnd w:id="15"/>
    <w:bookmarkStart w:id="16" w:name="schedule-a--refresh-share-details"/>
    <w:p>
      <w:pPr>
        <w:pStyle w:val="Heading2"/>
      </w:pPr>
      <w:r>
        <w:t xml:space="preserve">SCHEDULE A — REFRESH SHARE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Issuer</w:t>
            </w:r>
          </w:p>
        </w:tc>
        <w:tc>
          <w:tcPr/>
          <w:p>
            <w:pPr>
              <w:pStyle w:val="Compact"/>
            </w:pPr>
            <w:r>
              <w:t xml:space="preserve">Pheeew, Inc.</w:t>
            </w:r>
          </w:p>
        </w:tc>
      </w:tr>
      <w:tr>
        <w:tc>
          <w:tcPr/>
          <w:p>
            <w:pPr>
              <w:pStyle w:val="Compact"/>
            </w:pPr>
            <w:r>
              <w:t xml:space="preserve">State of Incorporation</w:t>
            </w:r>
          </w:p>
        </w:tc>
        <w:tc>
          <w:tcPr/>
          <w:p>
            <w:pPr>
              <w:pStyle w:val="Compact"/>
            </w:pPr>
            <w:r>
              <w:t xml:space="preserve">Delaware</w:t>
            </w:r>
          </w:p>
        </w:tc>
      </w:tr>
      <w:tr>
        <w:tc>
          <w:tcPr/>
          <w:p>
            <w:pPr>
              <w:pStyle w:val="Compact"/>
            </w:pPr>
            <w:r>
              <w:t xml:space="preserve">EIN</w:t>
            </w:r>
          </w:p>
        </w:tc>
        <w:tc>
          <w:tcPr/>
          <w:p>
            <w:pPr>
              <w:pStyle w:val="Compact"/>
            </w:pPr>
            <w:r>
              <w:t xml:space="preserve">41-5111005</w:t>
            </w:r>
          </w:p>
        </w:tc>
      </w:tr>
      <w:tr>
        <w:tc>
          <w:tcPr/>
          <w:p>
            <w:pPr>
              <w:pStyle w:val="Compact"/>
            </w:pPr>
            <w:r>
              <w:t xml:space="preserve">Class</w:t>
            </w:r>
          </w:p>
        </w:tc>
        <w:tc>
          <w:tcPr/>
          <w:p>
            <w:pPr>
              <w:pStyle w:val="Compact"/>
            </w:pPr>
            <w:r>
              <w:t xml:space="preserve">Common Stock</w:t>
            </w:r>
          </w:p>
        </w:tc>
      </w:tr>
      <w:tr>
        <w:tc>
          <w:tcPr/>
          <w:p>
            <w:pPr>
              <w:pStyle w:val="Compact"/>
            </w:pPr>
            <w:r>
              <w:t xml:space="preserve">Par Value</w:t>
            </w:r>
          </w:p>
        </w:tc>
        <w:tc>
          <w:tcPr/>
          <w:p>
            <w:pPr>
              <w:pStyle w:val="Compact"/>
            </w:pPr>
            <w:r>
              <w:t xml:space="preserve">$0.0001 per share</w:t>
            </w:r>
          </w:p>
        </w:tc>
      </w:tr>
      <w:tr>
        <w:tc>
          <w:tcPr/>
          <w:p>
            <w:pPr>
              <w:pStyle w:val="Compact"/>
            </w:pPr>
            <w:r>
              <w:t xml:space="preserve">Number of Refresh Shares</w:t>
            </w:r>
          </w:p>
        </w:tc>
        <w:tc>
          <w:tcPr/>
          <w:p>
            <w:pPr>
              <w:pStyle w:val="Compact"/>
            </w:pPr>
            <w:r>
              <w:t xml:space="preserve">141,428</w:t>
            </w:r>
          </w:p>
        </w:tc>
      </w:tr>
      <w:tr>
        <w:tc>
          <w:tcPr/>
          <w:p>
            <w:pPr>
              <w:pStyle w:val="Compact"/>
            </w:pPr>
            <w:r>
              <w:t xml:space="preserve">Purchase Price per Share</w:t>
            </w:r>
          </w:p>
        </w:tc>
        <w:tc>
          <w:tcPr/>
          <w:p>
            <w:pPr>
              <w:pStyle w:val="Compact"/>
            </w:pPr>
            <w:r>
              <w:t xml:space="preserve">$0.00226</w:t>
            </w:r>
          </w:p>
        </w:tc>
      </w:tr>
      <w:tr>
        <w:tc>
          <w:tcPr/>
          <w:p>
            <w:pPr>
              <w:pStyle w:val="Compact"/>
            </w:pPr>
            <w:r>
              <w:t xml:space="preserve">Aggregate Purchase Price</w:t>
            </w:r>
          </w:p>
        </w:tc>
        <w:tc>
          <w:tcPr/>
          <w:p>
            <w:pPr>
              <w:pStyle w:val="Compact"/>
            </w:pPr>
            <w:r>
              <w:t xml:space="preserve">$319.63</w:t>
            </w:r>
          </w:p>
        </w:tc>
      </w:tr>
      <w:tr>
        <w:tc>
          <w:tcPr/>
          <w:p>
            <w:pPr>
              <w:pStyle w:val="Compact"/>
            </w:pPr>
            <w:r>
              <w:t xml:space="preserve">Stock Certificate Number</w:t>
            </w:r>
          </w:p>
        </w:tc>
        <w:tc>
          <w:tcPr/>
          <w:p>
            <w:pPr>
              <w:pStyle w:val="Compact"/>
            </w:pPr>
            <w:r>
              <w:t xml:space="preserve">CS-001-R-A</w:t>
            </w:r>
          </w:p>
        </w:tc>
      </w:tr>
      <w:tr>
        <w:tc>
          <w:tcPr/>
          <w:p>
            <w:pPr>
              <w:pStyle w:val="Compact"/>
            </w:pPr>
            <w:r>
              <w:t xml:space="preserve">Vesting Commencement Date</w:t>
            </w:r>
          </w:p>
        </w:tc>
        <w:tc>
          <w:tcPr/>
          <w:p>
            <w:pPr>
              <w:pStyle w:val="Compact"/>
            </w:pPr>
            <w:r>
              <w:t xml:space="preserve">Effective Date</w:t>
            </w:r>
          </w:p>
        </w:tc>
      </w:tr>
      <w:tr>
        <w:tc>
          <w:tcPr/>
          <w:p>
            <w:pPr>
              <w:pStyle w:val="Compact"/>
            </w:pPr>
            <w:r>
              <w:t xml:space="preserve">Total Holdings After Refresh (CS-001-R + CS-001-R-A)</w:t>
            </w:r>
          </w:p>
        </w:tc>
        <w:tc>
          <w:tcPr/>
          <w:p>
            <w:pPr>
              <w:pStyle w:val="Compact"/>
            </w:pPr>
            <w:r>
              <w:t xml:space="preserve">3,291,428 shares</w:t>
            </w:r>
          </w:p>
        </w:tc>
      </w:tr>
    </w:tbl>
    <w:p>
      <w:r>
        <w:pict>
          <v:rect style="width:0;height:1.5pt" o:hralign="center" o:hrstd="t" o:hr="t"/>
        </w:pict>
      </w:r>
    </w:p>
    <w:p>
      <w:pPr>
        <w:pStyle w:val="FirstParagraph"/>
      </w:pPr>
      <w:r>
        <w:rPr>
          <w:b/>
          <w:bCs/>
        </w:rPr>
        <w:t xml:space="preserve">IN WITNESS WHEREOF</w:t>
      </w:r>
      <w:r>
        <w:t xml:space="preserve">, the parties have executed this Restricted Stock Purchase Agreement (Refresh Grant) as of the Effective Date.</w:t>
      </w:r>
    </w:p>
    <w:p>
      <w:pPr>
        <w:pStyle w:val="BodyText"/>
      </w:pPr>
      <w:r>
        <w:t xml:space="preserve">\</w:t>
      </w:r>
    </w:p>
    <w:p>
      <w:pPr>
        <w:pStyle w:val="BodyText"/>
      </w:pPr>
      <w:r>
        <w:rPr>
          <w:b/>
          <w:bCs/>
        </w:rPr>
        <w:t xml:space="preserve">COMPANY:</w:t>
      </w:r>
    </w:p>
    <w:p>
      <w:pPr>
        <w:pStyle w:val="BodyText"/>
      </w:pPr>
      <w:r>
        <w:t xml:space="preserve">PHEEEW, INC.</w:t>
      </w:r>
    </w:p>
    <w:p>
      <w:pPr>
        <w:pStyle w:val="BodyText"/>
      </w:pPr>
      <w:r>
        <w:t xml:space="preserve">By: ________________________________________</w:t>
      </w:r>
    </w:p>
    <w:p>
      <w:pPr>
        <w:pStyle w:val="BodyText"/>
      </w:pPr>
      <w:r>
        <w:rPr>
          <w:b/>
          <w:bCs/>
        </w:rPr>
        <w:t xml:space="preserve">Seungjoon Kim</w:t>
      </w:r>
      <w:r>
        <w:t xml:space="preserve"> </w:t>
      </w:r>
      <w:r>
        <w:rPr>
          <w:i/>
          <w:iCs/>
        </w:rPr>
        <w:t xml:space="preserve">President, Chief Executive Officer &amp; Sole Director</w:t>
      </w:r>
    </w:p>
    <w:p>
      <w:pPr>
        <w:pStyle w:val="BodyText"/>
      </w:pPr>
      <w:r>
        <w:t xml:space="preserve">Date: _____________</w:t>
      </w:r>
    </w:p>
    <w:p>
      <w:pPr>
        <w:pStyle w:val="BodyText"/>
      </w:pPr>
      <w:r>
        <w:t xml:space="preserve">\</w:t>
      </w:r>
    </w:p>
    <w:p>
      <w:pPr>
        <w:pStyle w:val="BodyText"/>
      </w:pPr>
      <w:r>
        <w:rPr>
          <w:b/>
          <w:bCs/>
        </w:rPr>
        <w:t xml:space="preserve">PURCHASER:</w:t>
      </w:r>
    </w:p>
    <w:p>
      <w:pPr>
        <w:pStyle w:val="BodyText"/>
      </w:pPr>
      <w:r>
        <w:t xml:space="preserve">________________________________________</w:t>
      </w:r>
    </w:p>
    <w:p>
      <w:pPr>
        <w:pStyle w:val="BodyText"/>
      </w:pPr>
      <w:r>
        <w:rPr>
          <w:b/>
          <w:bCs/>
        </w:rPr>
        <w:t xml:space="preserve">Seungjoon Kim</w:t>
      </w:r>
      <w:r>
        <w:t xml:space="preserve"> </w:t>
      </w:r>
      <w:r>
        <w:t xml:space="preserve">("Alex"),</w:t>
      </w:r>
      <w:r>
        <w:t xml:space="preserve"> </w:t>
      </w:r>
      <w:r>
        <w:rPr>
          <w:i/>
          <w:iCs/>
        </w:rPr>
        <w:t xml:space="preserve">individually</w:t>
      </w:r>
    </w:p>
    <w:p>
      <w:pPr>
        <w:pStyle w:val="BodyText"/>
      </w:pPr>
      <w:r>
        <w:t xml:space="preserve">Date: _____________</w:t>
      </w:r>
    </w:p>
    <w:p>
      <w:pPr>
        <w:pStyle w:val="BodyText"/>
      </w:pPr>
      <w:r>
        <w:t xml:space="preserve">Address: 4852 Ocean View Blvd, La Cañada Flintridge, CA 91011</w:t>
      </w:r>
    </w:p>
    <w:p>
      <w:pPr>
        <w:pStyle w:val="BodyText"/>
      </w:pPr>
      <w:r>
        <w:t xml:space="preserve">Taxpayer Identification Number (SSN): 852-55-1526</w:t>
      </w:r>
    </w:p>
    <w:bookmarkEnd w:id="16"/>
    <w:bookmarkEnd w:id="17"/>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160" w:before="0" w:line="300" w:lineRule="auto"/>
      <w:jc w:val="both"/>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both"/>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2026-05-07T05:11:59Z</dcterms:created>
  <dcterms:modified xsi:type="dcterms:W3CDTF">2026-05-07T05:11:59Z</dcterms:modified>
</cp:coreProperties>
</file>

<file path=docProps/custom.xml><?xml version="1.0" encoding="utf-8"?>
<Properties xmlns="http://schemas.openxmlformats.org/officeDocument/2006/custom-properties" xmlns:vt="http://schemas.openxmlformats.org/officeDocument/2006/docPropsVTypes"/>
</file>