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2b491c2ae8c5255f7b07ffdf5df69240cc33e8"/>
    <w:p>
      <w:pPr>
        <w:pStyle w:val="Heading1"/>
      </w:pPr>
      <w:r>
        <w:t xml:space="preserve">AMENDED AND RESTATED CO-FOUNDER AGREEMENT (v3)</w:t>
      </w:r>
    </w:p>
    <w:bookmarkStart w:id="9" w:name="pheeew-inc"/>
    <w:p>
      <w:pPr>
        <w:pStyle w:val="Heading2"/>
      </w:pPr>
      <w:r>
        <w:t xml:space="preserve">PHEEEW, INC.</w:t>
      </w:r>
    </w:p>
    <w:p>
      <w:pPr>
        <w:pStyle w:val="FirstParagraph"/>
      </w:pPr>
      <w:r>
        <w:rPr>
          <w:i/>
          <w:iCs/>
        </w:rPr>
        <w:t xml:space="preserve">A Delaware Corporation</w:t>
      </w:r>
    </w:p>
    <w:p>
      <w:r>
        <w:pict>
          <v:rect style="width:0;height:1.5pt" o:hralign="center" o:hrstd="t" o:hr="t"/>
        </w:pict>
      </w:r>
    </w:p>
    <w:p>
      <w:pPr>
        <w:pStyle w:val="FirstParagraph"/>
      </w:pPr>
      <w:r>
        <w:t xml:space="preserve">This Amended and Restated Co-Founder Agreement (this "</w:t>
      </w:r>
      <w:r>
        <w:rPr>
          <w:b/>
          <w:bCs/>
        </w:rPr>
        <w:t xml:space="preserve">Agreement</w:t>
      </w:r>
      <w:r>
        <w:t xml:space="preserve">") is made and entered into as of</w:t>
      </w:r>
      <w:r>
        <w:t xml:space="preserve"> </w:t>
      </w:r>
      <w:r>
        <w:rPr>
          <w:b/>
          <w:bCs/>
        </w:rPr>
        <w:t xml:space="preserve">[DATE]</w:t>
      </w:r>
      <w:r>
        <w:t xml:space="preserve"> </w:t>
      </w:r>
      <w:r>
        <w:t xml:space="preserve">(the "</w:t>
      </w:r>
      <w:r>
        <w:rPr>
          <w:b/>
          <w:bCs/>
        </w:rPr>
        <w:t xml:space="preserve">Effective Date</w:t>
      </w:r>
      <w:r>
        <w:t xml:space="preserve">"), by and among</w:t>
      </w:r>
      <w:r>
        <w:t xml:space="preserve"> </w:t>
      </w:r>
      <w:r>
        <w:rPr>
          <w:b/>
          <w:bCs/>
        </w:rPr>
        <w:t xml:space="preserve">Pheeew, Inc.</w:t>
      </w:r>
      <w:r>
        <w:t xml:space="preserve">, a Delaware corporation (the "</w:t>
      </w:r>
      <w:r>
        <w:rPr>
          <w:b/>
          <w:bCs/>
        </w:rPr>
        <w:t xml:space="preserve">Company</w:t>
      </w:r>
      <w:r>
        <w:t xml:space="preserve">"), and the following individuals:</w:t>
      </w:r>
    </w:p>
    <w:p>
      <w:pPr>
        <w:pStyle w:val="Compact"/>
        <w:numPr>
          <w:ilvl w:val="0"/>
          <w:numId w:val="1001"/>
        </w:numPr>
      </w:pPr>
      <w:r>
        <w:rPr>
          <w:b/>
          <w:bCs/>
        </w:rPr>
        <w:t xml:space="preserve">Seungjoon Kim</w:t>
      </w:r>
      <w:r>
        <w:t xml:space="preserve"> </w:t>
      </w:r>
      <w:r>
        <w:t xml:space="preserve">("</w:t>
      </w:r>
      <w:r>
        <w:rPr>
          <w:b/>
          <w:bCs/>
        </w:rPr>
        <w:t xml:space="preserve">Alex</w:t>
      </w:r>
      <w:r>
        <w:t xml:space="preserve">");</w:t>
      </w:r>
    </w:p>
    <w:p>
      <w:pPr>
        <w:pStyle w:val="Compact"/>
        <w:numPr>
          <w:ilvl w:val="0"/>
          <w:numId w:val="1001"/>
        </w:numPr>
      </w:pPr>
      <w:r>
        <w:rPr>
          <w:b/>
          <w:bCs/>
        </w:rPr>
        <w:t xml:space="preserve">Jason Ko</w:t>
      </w:r>
      <w:r>
        <w:t xml:space="preserve"> </w:t>
      </w:r>
      <w:r>
        <w:t xml:space="preserve">("</w:t>
      </w:r>
      <w:r>
        <w:rPr>
          <w:b/>
          <w:bCs/>
        </w:rPr>
        <w:t xml:space="preserve">Jason</w:t>
      </w:r>
      <w:r>
        <w:t xml:space="preserve">");</w:t>
      </w:r>
    </w:p>
    <w:p>
      <w:pPr>
        <w:pStyle w:val="Compact"/>
        <w:numPr>
          <w:ilvl w:val="0"/>
          <w:numId w:val="1001"/>
        </w:numPr>
      </w:pPr>
      <w:r>
        <w:rPr>
          <w:b/>
          <w:bCs/>
        </w:rPr>
        <w:t xml:space="preserve">Dawon Kim</w:t>
      </w:r>
      <w:r>
        <w:t xml:space="preserve"> </w:t>
      </w:r>
      <w:r>
        <w:t xml:space="preserve">("</w:t>
      </w:r>
      <w:r>
        <w:rPr>
          <w:b/>
          <w:bCs/>
        </w:rPr>
        <w:t xml:space="preserve">Dawon</w:t>
      </w:r>
      <w:r>
        <w:t xml:space="preserve">"); and</w:t>
      </w:r>
    </w:p>
    <w:p>
      <w:pPr>
        <w:pStyle w:val="Compact"/>
        <w:numPr>
          <w:ilvl w:val="0"/>
          <w:numId w:val="1001"/>
        </w:numPr>
      </w:pPr>
      <w:r>
        <w:rPr>
          <w:b/>
          <w:bCs/>
        </w:rPr>
        <w:t xml:space="preserve">Junhyuk Kim</w:t>
      </w:r>
      <w:r>
        <w:t xml:space="preserve"> </w:t>
      </w:r>
      <w:r>
        <w:t xml:space="preserve">("</w:t>
      </w:r>
      <w:r>
        <w:rPr>
          <w:b/>
          <w:bCs/>
        </w:rPr>
        <w:t xml:space="preserve">Justin</w:t>
      </w:r>
      <w:r>
        <w:t xml:space="preserve">").</w:t>
      </w:r>
    </w:p>
    <w:p>
      <w:pPr>
        <w:pStyle w:val="FirstParagraph"/>
      </w:pPr>
      <w:r>
        <w:t xml:space="preserve">Alex, Jason, Dawon, and Justin are each referred to herein individually as a "</w:t>
      </w:r>
      <w:r>
        <w:rPr>
          <w:b/>
          <w:bCs/>
        </w:rPr>
        <w:t xml:space="preserve">Founder</w:t>
      </w:r>
      <w:r>
        <w:t xml:space="preserve">" and collectively as the "</w:t>
      </w:r>
      <w:r>
        <w:rPr>
          <w:b/>
          <w:bCs/>
        </w:rPr>
        <w:t xml:space="preserve">Founders</w:t>
      </w:r>
      <w:r>
        <w:t xml:space="preserve">."</w:t>
      </w:r>
    </w:p>
    <w:p>
      <w:pPr>
        <w:pStyle w:val="BodyText"/>
      </w:pPr>
      <w:r>
        <w:t xml:space="preserve">This Agreement amends and restates in its entirety the Co-Founder Agreement v2 dated April 13, 2026 by and among the Company, Alex, Jason, and Dawon, to admit Justin as a fourth Founder and to reflect the updated capitalization of the Company.</w:t>
      </w:r>
    </w:p>
    <w:p>
      <w:r>
        <w:pict>
          <v:rect style="width:0;height:1.5pt" o:hralign="center" o:hrstd="t" o:hr="t"/>
        </w:pict>
      </w:r>
    </w:p>
    <w:bookmarkEnd w:id="9"/>
    <w:bookmarkStart w:id="10" w:name="article-1-recitals"/>
    <w:p>
      <w:pPr>
        <w:pStyle w:val="Heading2"/>
      </w:pPr>
      <w:r>
        <w:t xml:space="preserve">ARTICLE 1. RECITALS</w:t>
      </w:r>
    </w:p>
    <w:p>
      <w:pPr>
        <w:pStyle w:val="FirstParagraph"/>
      </w:pPr>
      <w:r>
        <w:t xml:space="preserve">1.1</w:t>
      </w:r>
      <w:r>
        <w:t xml:space="preserve"> </w:t>
      </w:r>
      <w:r>
        <w:rPr>
          <w:b/>
          <w:bCs/>
        </w:rPr>
        <w:t xml:space="preserve">Formation.</w:t>
      </w:r>
      <w:r>
        <w:t xml:space="preserve"> </w:t>
      </w:r>
      <w:r>
        <w:t xml:space="preserve">The Company was incorporated in the State of Delaware on March 24, 2026 by Alex.</w:t>
      </w:r>
    </w:p>
    <w:p>
      <w:pPr>
        <w:pStyle w:val="BodyText"/>
      </w:pPr>
      <w:r>
        <w:t xml:space="preserve">1.2</w:t>
      </w:r>
      <w:r>
        <w:t xml:space="preserve"> </w:t>
      </w:r>
      <w:r>
        <w:rPr>
          <w:b/>
          <w:bCs/>
        </w:rPr>
        <w:t xml:space="preserve">Prior Co-Founders.</w:t>
      </w:r>
      <w:r>
        <w:t xml:space="preserve"> </w:t>
      </w:r>
      <w:r>
        <w:t xml:space="preserve">Jason and Dawon were admitted as co-founders on April 13, 2026 pursuant to the Co-Founder Agreement v2.</w:t>
      </w:r>
    </w:p>
    <w:p>
      <w:pPr>
        <w:pStyle w:val="BodyText"/>
      </w:pPr>
      <w:r>
        <w:t xml:space="preserve">1.3</w:t>
      </w:r>
      <w:r>
        <w:t xml:space="preserve"> </w:t>
      </w:r>
      <w:r>
        <w:rPr>
          <w:b/>
          <w:bCs/>
        </w:rPr>
        <w:t xml:space="preserve">Admission of Justin.</w:t>
      </w:r>
      <w:r>
        <w:t xml:space="preserve"> </w:t>
      </w:r>
      <w:r>
        <w:t xml:space="preserve">The Founders desire to admit Justin as a fourth Founder effective as of the Effective Date, in connection with Justin's capital contribution of Thirty Thousand Dollars ($30,000.00) to the Company and his appointment as Chief Growth Officer.</w:t>
      </w:r>
    </w:p>
    <w:p>
      <w:pPr>
        <w:pStyle w:val="BodyText"/>
      </w:pPr>
      <w:r>
        <w:t xml:space="preserve">1.4</w:t>
      </w:r>
      <w:r>
        <w:t xml:space="preserve"> </w:t>
      </w:r>
      <w:r>
        <w:rPr>
          <w:b/>
          <w:bCs/>
        </w:rPr>
        <w:t xml:space="preserve">Purpose.</w:t>
      </w:r>
      <w:r>
        <w:t xml:space="preserve"> </w:t>
      </w:r>
      <w:r>
        <w:t xml:space="preserve">The Founders wish to memorialize the updated capitalization, roles, and governance arrangements among themselves.</w:t>
      </w:r>
    </w:p>
    <w:p>
      <w:pPr>
        <w:pStyle w:val="BodyText"/>
      </w:pPr>
      <w:r>
        <w:t xml:space="preserve">NOW, THEREFORE, in consideration of the mutual covenants and agreements contained herein, the parties agree as follows:</w:t>
      </w:r>
    </w:p>
    <w:p>
      <w:r>
        <w:pict>
          <v:rect style="width:0;height:1.5pt" o:hralign="center" o:hrstd="t" o:hr="t"/>
        </w:pict>
      </w:r>
    </w:p>
    <w:bookmarkEnd w:id="10"/>
    <w:bookmarkStart w:id="11" w:name="article-2-capitalization"/>
    <w:p>
      <w:pPr>
        <w:pStyle w:val="Heading2"/>
      </w:pPr>
      <w:r>
        <w:t xml:space="preserve">ARTICLE 2. CAPITALIZATION</w:t>
      </w:r>
    </w:p>
    <w:p>
      <w:pPr>
        <w:pStyle w:val="FirstParagraph"/>
      </w:pPr>
      <w:r>
        <w:t xml:space="preserve">2.1</w:t>
      </w:r>
      <w:r>
        <w:t xml:space="preserve"> </w:t>
      </w:r>
      <w:r>
        <w:rPr>
          <w:b/>
          <w:bCs/>
        </w:rPr>
        <w:t xml:space="preserve">Authorized Capital.</w:t>
      </w:r>
      <w:r>
        <w:t xml:space="preserve"> </w:t>
      </w:r>
      <w:r>
        <w:t xml:space="preserve">As of the Effective Date, the authorized capital of the Company is Fourteen Million (14,000,000) shares of Common Stock, par value $0.0001 per share, pursuant to the Certificate of Amendment to the Certificate of Incorporation filed with the Delaware Secretary of State on [DATE].</w:t>
      </w:r>
    </w:p>
    <w:p>
      <w:pPr>
        <w:pStyle w:val="BodyText"/>
      </w:pPr>
      <w:r>
        <w:t xml:space="preserve">2.2</w:t>
      </w:r>
      <w:r>
        <w:t xml:space="preserve"> </w:t>
      </w:r>
      <w:r>
        <w:rPr>
          <w:b/>
          <w:bCs/>
        </w:rPr>
        <w:t xml:space="preserve">Outstanding Shares.</w:t>
      </w:r>
      <w:r>
        <w:t xml:space="preserve"> </w:t>
      </w:r>
      <w:r>
        <w:t xml:space="preserve">The Founders hold the following shares of Common Stock as of the Effective Date: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Founder</w:t>
            </w:r>
          </w:p>
        </w:tc>
        <w:tc>
          <w:tcPr/>
          <w:p>
            <w:pPr>
              <w:pStyle w:val="Compact"/>
            </w:pPr>
            <w:r>
              <w:t xml:space="preserve">Cert. No.</w:t>
            </w:r>
          </w:p>
        </w:tc>
        <w:tc>
          <w:tcPr/>
          <w:p>
            <w:pPr>
              <w:pStyle w:val="Compact"/>
            </w:pPr>
            <w:r>
              <w:t xml:space="preserve">Shares Held</w:t>
            </w:r>
          </w:p>
        </w:tc>
        <w:tc>
          <w:tcPr/>
          <w:p>
            <w:pPr>
              <w:pStyle w:val="Compact"/>
            </w:pPr>
            <w:r>
              <w:t xml:space="preserve">Issued %</w:t>
            </w:r>
          </w:p>
        </w:tc>
        <w:tc>
          <w:tcPr/>
          <w:p>
            <w:pPr>
              <w:pStyle w:val="Compact"/>
            </w:pPr>
            <w:r>
              <w:t xml:space="preserve">Fully-Diluted %</w:t>
            </w:r>
          </w:p>
        </w:tc>
      </w:tr>
      <w:tr>
        <w:tc>
          <w:tcPr/>
          <w:p>
            <w:pPr>
              <w:pStyle w:val="Compact"/>
            </w:pPr>
            <w:r>
              <w:t xml:space="preserve">Seungjoon Kim ("Alex")</w:t>
            </w:r>
          </w:p>
        </w:tc>
        <w:tc>
          <w:tcPr/>
          <w:p>
            <w:pPr>
              <w:pStyle w:val="Compact"/>
            </w:pPr>
            <w:r>
              <w:t xml:space="preserve">CS-001-R + CS-001-R-A</w:t>
            </w:r>
          </w:p>
        </w:tc>
        <w:tc>
          <w:tcPr/>
          <w:p>
            <w:pPr>
              <w:pStyle w:val="Compact"/>
            </w:pPr>
            <w:r>
              <w:t xml:space="preserve">3,291,428</w:t>
            </w:r>
          </w:p>
        </w:tc>
        <w:tc>
          <w:tcPr/>
          <w:p>
            <w:pPr>
              <w:pStyle w:val="Compact"/>
            </w:pPr>
            <w:r>
              <w:t xml:space="preserve">26.67%</w:t>
            </w:r>
          </w:p>
        </w:tc>
        <w:tc>
          <w:tcPr/>
          <w:p>
            <w:pPr>
              <w:pStyle w:val="Compact"/>
            </w:pPr>
            <w:r>
              <w:t xml:space="preserve">24.00%</w:t>
            </w:r>
          </w:p>
        </w:tc>
      </w:tr>
      <w:tr>
        <w:tc>
          <w:tcPr/>
          <w:p>
            <w:pPr>
              <w:pStyle w:val="Compact"/>
            </w:pPr>
            <w:r>
              <w:t xml:space="preserve">Jason Ko</w:t>
            </w:r>
          </w:p>
        </w:tc>
        <w:tc>
          <w:tcPr/>
          <w:p>
            <w:pPr>
              <w:pStyle w:val="Compact"/>
            </w:pPr>
            <w:r>
              <w:t xml:space="preserve">CS-003 + CS-003-A</w:t>
            </w:r>
          </w:p>
        </w:tc>
        <w:tc>
          <w:tcPr/>
          <w:p>
            <w:pPr>
              <w:pStyle w:val="Compact"/>
            </w:pPr>
            <w:r>
              <w:t xml:space="preserve">3,154,286</w:t>
            </w:r>
          </w:p>
        </w:tc>
        <w:tc>
          <w:tcPr/>
          <w:p>
            <w:pPr>
              <w:pStyle w:val="Compact"/>
            </w:pPr>
            <w:r>
              <w:t xml:space="preserve">25.56%</w:t>
            </w:r>
          </w:p>
        </w:tc>
        <w:tc>
          <w:tcPr/>
          <w:p>
            <w:pPr>
              <w:pStyle w:val="Compact"/>
            </w:pPr>
            <w:r>
              <w:t xml:space="preserve">23.00%</w:t>
            </w:r>
          </w:p>
        </w:tc>
      </w:tr>
      <w:tr>
        <w:tc>
          <w:tcPr/>
          <w:p>
            <w:pPr>
              <w:pStyle w:val="Compact"/>
            </w:pPr>
            <w:r>
              <w:t xml:space="preserve">Junhyuk Kim ("Justin")</w:t>
            </w:r>
          </w:p>
        </w:tc>
        <w:tc>
          <w:tcPr/>
          <w:p>
            <w:pPr>
              <w:pStyle w:val="Compact"/>
            </w:pPr>
            <w:r>
              <w:t xml:space="preserve">CS-004</w:t>
            </w:r>
          </w:p>
        </w:tc>
        <w:tc>
          <w:tcPr/>
          <w:p>
            <w:pPr>
              <w:pStyle w:val="Compact"/>
            </w:pPr>
            <w:r>
              <w:t xml:space="preserve">3,017,143</w:t>
            </w:r>
          </w:p>
        </w:tc>
        <w:tc>
          <w:tcPr/>
          <w:p>
            <w:pPr>
              <w:pStyle w:val="Compact"/>
            </w:pPr>
            <w:r>
              <w:t xml:space="preserve">24.45%</w:t>
            </w:r>
          </w:p>
        </w:tc>
        <w:tc>
          <w:tcPr/>
          <w:p>
            <w:pPr>
              <w:pStyle w:val="Compact"/>
            </w:pPr>
            <w:r>
              <w:t xml:space="preserve">22.00%</w:t>
            </w:r>
          </w:p>
        </w:tc>
      </w:tr>
      <w:tr>
        <w:tc>
          <w:tcPr/>
          <w:p>
            <w:pPr>
              <w:pStyle w:val="Compact"/>
            </w:pPr>
            <w:r>
              <w:t xml:space="preserve">Dawon Kim</w:t>
            </w:r>
          </w:p>
        </w:tc>
        <w:tc>
          <w:tcPr/>
          <w:p>
            <w:pPr>
              <w:pStyle w:val="Compact"/>
            </w:pPr>
            <w:r>
              <w:t xml:space="preserve">CS-002</w:t>
            </w:r>
          </w:p>
        </w:tc>
        <w:tc>
          <w:tcPr/>
          <w:p>
            <w:pPr>
              <w:pStyle w:val="Compact"/>
            </w:pPr>
            <w:r>
              <w:t xml:space="preserve">2,880,000</w:t>
            </w:r>
          </w:p>
        </w:tc>
        <w:tc>
          <w:tcPr/>
          <w:p>
            <w:pPr>
              <w:pStyle w:val="Compact"/>
            </w:pPr>
            <w:r>
              <w:t xml:space="preserve">23.33%</w:t>
            </w:r>
          </w:p>
        </w:tc>
        <w:tc>
          <w:tcPr/>
          <w:p>
            <w:pPr>
              <w:pStyle w:val="Compact"/>
            </w:pPr>
            <w:r>
              <w:t xml:space="preserve">21.00%</w:t>
            </w:r>
          </w:p>
        </w:tc>
      </w:tr>
      <w:tr>
        <w:tc>
          <w:tcPr/>
          <w:p>
            <w:pPr>
              <w:pStyle w:val="Compact"/>
            </w:pPr>
            <w:r>
              <w:rPr>
                <w:b/>
                <w:bCs/>
              </w:rPr>
              <w:t xml:space="preserve">Subtotal — Founders</w:t>
            </w:r>
          </w:p>
        </w:tc>
        <w:tc>
          <w:tcPr/>
          <w:p>
            <w:pPr>
              <w:pStyle w:val="Compact"/>
            </w:pPr>
          </w:p>
        </w:tc>
        <w:tc>
          <w:tcPr/>
          <w:p>
            <w:pPr>
              <w:pStyle w:val="Compact"/>
            </w:pPr>
            <w:r>
              <w:rPr>
                <w:b/>
                <w:bCs/>
              </w:rPr>
              <w:t xml:space="preserve">12,342,857</w:t>
            </w:r>
          </w:p>
        </w:tc>
        <w:tc>
          <w:tcPr/>
          <w:p>
            <w:pPr>
              <w:pStyle w:val="Compact"/>
            </w:pPr>
            <w:r>
              <w:rPr>
                <w:b/>
                <w:bCs/>
              </w:rPr>
              <w:t xml:space="preserve">100.00%</w:t>
            </w:r>
          </w:p>
        </w:tc>
        <w:tc>
          <w:tcPr/>
          <w:p>
            <w:pPr>
              <w:pStyle w:val="Compact"/>
            </w:pPr>
            <w:r>
              <w:rPr>
                <w:b/>
                <w:bCs/>
              </w:rPr>
              <w:t xml:space="preserve">90.00%</w:t>
            </w:r>
          </w:p>
        </w:tc>
      </w:tr>
      <w:tr>
        <w:tc>
          <w:tcPr/>
          <w:p>
            <w:pPr>
              <w:pStyle w:val="Compact"/>
            </w:pPr>
            <w:r>
              <w:t xml:space="preserve">Equity Incentive Pool (reserved)</w:t>
            </w:r>
          </w:p>
        </w:tc>
        <w:tc>
          <w:tcPr/>
          <w:p>
            <w:pPr>
              <w:pStyle w:val="Compact"/>
            </w:pPr>
            <w:r>
              <w:t xml:space="preserve">—</w:t>
            </w:r>
          </w:p>
        </w:tc>
        <w:tc>
          <w:tcPr/>
          <w:p>
            <w:pPr>
              <w:pStyle w:val="Compact"/>
            </w:pPr>
            <w:r>
              <w:t xml:space="preserve">1,371,429</w:t>
            </w:r>
          </w:p>
        </w:tc>
        <w:tc>
          <w:tcPr/>
          <w:p>
            <w:pPr>
              <w:pStyle w:val="Compact"/>
            </w:pPr>
            <w:r>
              <w:t xml:space="preserve">—</w:t>
            </w:r>
          </w:p>
        </w:tc>
        <w:tc>
          <w:tcPr/>
          <w:p>
            <w:pPr>
              <w:pStyle w:val="Compact"/>
            </w:pPr>
            <w:r>
              <w:t xml:space="preserve">10.00%</w:t>
            </w:r>
          </w:p>
        </w:tc>
      </w:tr>
      <w:tr>
        <w:tc>
          <w:tcPr/>
          <w:p>
            <w:pPr>
              <w:pStyle w:val="Compact"/>
            </w:pPr>
            <w:r>
              <w:rPr>
                <w:b/>
                <w:bCs/>
              </w:rPr>
              <w:t xml:space="preserve">TOTAL FULLY DILUTED</w:t>
            </w:r>
          </w:p>
        </w:tc>
        <w:tc>
          <w:tcPr/>
          <w:p>
            <w:pPr>
              <w:pStyle w:val="Compact"/>
            </w:pPr>
          </w:p>
        </w:tc>
        <w:tc>
          <w:tcPr/>
          <w:p>
            <w:pPr>
              <w:pStyle w:val="Compact"/>
            </w:pPr>
            <w:r>
              <w:rPr>
                <w:b/>
                <w:bCs/>
              </w:rPr>
              <w:t xml:space="preserve">13,714,286</w:t>
            </w:r>
          </w:p>
        </w:tc>
        <w:tc>
          <w:tcPr/>
          <w:p>
            <w:pPr>
              <w:pStyle w:val="Compact"/>
            </w:pPr>
          </w:p>
        </w:tc>
        <w:tc>
          <w:tcPr/>
          <w:p>
            <w:pPr>
              <w:pStyle w:val="Compact"/>
            </w:pPr>
            <w:r>
              <w:rPr>
                <w:b/>
                <w:bCs/>
              </w:rPr>
              <w:t xml:space="preserve">100.00%</w:t>
            </w:r>
          </w:p>
        </w:tc>
      </w:tr>
    </w:tbl>
    <w:p>
      <w:r>
        <w:pict>
          <v:rect style="width:0;height:1.5pt" o:hralign="center" o:hrstd="t" o:hr="t"/>
        </w:pict>
      </w:r>
    </w:p>
    <w:bookmarkEnd w:id="11"/>
    <w:bookmarkStart w:id="12" w:name="article-3-roles-and-responsibilities"/>
    <w:p>
      <w:pPr>
        <w:pStyle w:val="Heading2"/>
      </w:pPr>
      <w:r>
        <w:t xml:space="preserve">ARTICLE 3. ROLES AND RESPONSIBILITIES</w:t>
      </w:r>
    </w:p>
    <w:p>
      <w:pPr>
        <w:pStyle w:val="FirstParagraph"/>
      </w:pPr>
      <w:r>
        <w:t xml:space="preserve">3.1</w:t>
      </w:r>
      <w:r>
        <w:t xml:space="preserve"> </w:t>
      </w:r>
      <w:r>
        <w:rPr>
          <w:b/>
          <w:bCs/>
        </w:rPr>
        <w:t xml:space="preserve">Officer Titles.</w:t>
      </w:r>
      <w:r>
        <w:t xml:space="preserve"> </w:t>
      </w:r>
      <w:r>
        <w:t xml:space="preserve">Each Founder shall serve in the officer capacity set forth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Founder</w:t>
            </w:r>
          </w:p>
        </w:tc>
        <w:tc>
          <w:tcPr/>
          <w:p>
            <w:pPr>
              <w:pStyle w:val="Compact"/>
            </w:pPr>
            <w:r>
              <w:t xml:space="preserve">Title</w:t>
            </w:r>
          </w:p>
        </w:tc>
      </w:tr>
      <w:tr>
        <w:tc>
          <w:tcPr/>
          <w:p>
            <w:pPr>
              <w:pStyle w:val="Compact"/>
            </w:pPr>
            <w:r>
              <w:t xml:space="preserve">Alex</w:t>
            </w:r>
          </w:p>
        </w:tc>
        <w:tc>
          <w:tcPr/>
          <w:p>
            <w:pPr>
              <w:pStyle w:val="Compact"/>
            </w:pPr>
            <w:r>
              <w:t xml:space="preserve">Chief Executive Officer (CEO) and Secretary</w:t>
            </w:r>
          </w:p>
        </w:tc>
      </w:tr>
      <w:tr>
        <w:tc>
          <w:tcPr/>
          <w:p>
            <w:pPr>
              <w:pStyle w:val="Compact"/>
            </w:pPr>
            <w:r>
              <w:t xml:space="preserve">Jason</w:t>
            </w:r>
          </w:p>
        </w:tc>
        <w:tc>
          <w:tcPr/>
          <w:p>
            <w:pPr>
              <w:pStyle w:val="Compact"/>
            </w:pPr>
            <w:r>
              <w:t xml:space="preserve">Chief Operating Officer (COO)</w:t>
            </w:r>
          </w:p>
        </w:tc>
      </w:tr>
      <w:tr>
        <w:tc>
          <w:tcPr/>
          <w:p>
            <w:pPr>
              <w:pStyle w:val="Compact"/>
            </w:pPr>
            <w:r>
              <w:t xml:space="preserve">Justin</w:t>
            </w:r>
          </w:p>
        </w:tc>
        <w:tc>
          <w:tcPr/>
          <w:p>
            <w:pPr>
              <w:pStyle w:val="Compact"/>
            </w:pPr>
            <w:r>
              <w:t xml:space="preserve">Chief Growth Officer (CGO)</w:t>
            </w:r>
          </w:p>
        </w:tc>
      </w:tr>
      <w:tr>
        <w:tc>
          <w:tcPr/>
          <w:p>
            <w:pPr>
              <w:pStyle w:val="Compact"/>
            </w:pPr>
            <w:r>
              <w:t xml:space="preserve">Dawon</w:t>
            </w:r>
          </w:p>
        </w:tc>
        <w:tc>
          <w:tcPr/>
          <w:p>
            <w:pPr>
              <w:pStyle w:val="Compact"/>
            </w:pPr>
            <w:r>
              <w:t xml:space="preserve">Chief Brand Officer (CBO)</w:t>
            </w:r>
          </w:p>
        </w:tc>
      </w:tr>
    </w:tbl>
    <w:p>
      <w:pPr>
        <w:pStyle w:val="BodyText"/>
      </w:pPr>
      <w:r>
        <w:t xml:space="preserve">3.2</w:t>
      </w:r>
      <w:r>
        <w:t xml:space="preserve"> </w:t>
      </w:r>
      <w:r>
        <w:rPr>
          <w:b/>
          <w:bCs/>
        </w:rPr>
        <w:t xml:space="preserve">Scope of Responsibilities.</w:t>
      </w:r>
      <w:r>
        <w:t xml:space="preserve"> </w:t>
      </w:r>
      <w:r>
        <w:t xml:space="preserve">Detailed role-based responsibilities (the "</w:t>
      </w:r>
      <w:r>
        <w:rPr>
          <w:b/>
          <w:bCs/>
        </w:rPr>
        <w:t xml:space="preserve">R&amp;R Framework</w:t>
      </w:r>
      <w:r>
        <w:t xml:space="preserve">") are documented at the Company's internal team page and are incorporated herein by reference. The R&amp;R Framework is open-ended and role-based, and is not limited to the specific projects or initiatives existing as of the Effective Date.</w:t>
      </w:r>
    </w:p>
    <w:p>
      <w:pPr>
        <w:pStyle w:val="BodyText"/>
      </w:pPr>
      <w:r>
        <w:t xml:space="preserve">3.3</w:t>
      </w:r>
      <w:r>
        <w:t xml:space="preserve"> </w:t>
      </w:r>
      <w:r>
        <w:rPr>
          <w:b/>
          <w:bCs/>
        </w:rPr>
        <w:t xml:space="preserve">Collaboration Principle.</w:t>
      </w:r>
      <w:r>
        <w:t xml:space="preserve"> </w:t>
      </w:r>
      <w:r>
        <w:t xml:space="preserve">During the bootstrap phase of the Company (defined as the period from the Effective Date through and including the twenty-fourth (24th) calendar month following the Effective Date), the Founders agree to operate under the following principle:</w:t>
      </w:r>
    </w:p>
    <w:p>
      <w:pPr>
        <w:pStyle w:val="BlockText"/>
      </w:pPr>
      <w:r>
        <w:rPr>
          <w:i/>
          <w:iCs/>
        </w:rPr>
        <w:t xml:space="preserve">Roles and responsibilities define ownership, not boundaries. Each Founder is expected to step into another Founder's domain when help is needed. The Chief Executive Officer assists proactively across all domains as a baseline; the other Founders assist as needed when called upon. The R&amp;R Framework is the framework for accountability; it is not a limit on contribution.</w:t>
      </w:r>
    </w:p>
    <w:p>
      <w:pPr>
        <w:pStyle w:val="FirstParagraph"/>
      </w:pPr>
      <w:r>
        <w:t xml:space="preserve">This Section 3.3 governs the operational expectations among the Founders and does not modify the legal authority of any officer or director, which remains as set forth in the Bylaws.</w:t>
      </w:r>
    </w:p>
    <w:p>
      <w:r>
        <w:pict>
          <v:rect style="width:0;height:1.5pt" o:hralign="center" o:hrstd="t" o:hr="t"/>
        </w:pict>
      </w:r>
    </w:p>
    <w:bookmarkEnd w:id="12"/>
    <w:bookmarkStart w:id="13" w:name="article-4-vesting"/>
    <w:p>
      <w:pPr>
        <w:pStyle w:val="Heading2"/>
      </w:pPr>
      <w:r>
        <w:t xml:space="preserve">ARTICLE 4. VESTING</w:t>
      </w:r>
    </w:p>
    <w:p>
      <w:pPr>
        <w:pStyle w:val="FirstParagraph"/>
      </w:pPr>
      <w:r>
        <w:t xml:space="preserve">4.1</w:t>
      </w:r>
      <w:r>
        <w:t xml:space="preserve"> </w:t>
      </w:r>
      <w:r>
        <w:rPr>
          <w:b/>
          <w:bCs/>
        </w:rPr>
        <w:t xml:space="preserve">Vesting Schedule.</w:t>
      </w:r>
      <w:r>
        <w:t xml:space="preserve"> </w:t>
      </w:r>
      <w:r>
        <w:t xml:space="preserve">Each Founder's shares vest as set forth in the corresponding Restricted Stock Purchase Agreement(s) executed by such Founder. All grants follow the standard four (4) year vesting schedule with a one (1) year cliff: twenty-five percent (25%) of the shares vest on the one-year anniversary of the applicable Vesting Commencement Date, and the remaining seventy-five percent (75%) vests in equal monthly installments over the following thirty-six (36) months.</w:t>
      </w:r>
    </w:p>
    <w:p>
      <w:pPr>
        <w:pStyle w:val="BodyText"/>
      </w:pPr>
      <w:r>
        <w:t xml:space="preserve">4.2</w:t>
      </w:r>
      <w:r>
        <w:t xml:space="preserve"> </w:t>
      </w:r>
      <w:r>
        <w:rPr>
          <w:b/>
          <w:bCs/>
        </w:rPr>
        <w:t xml:space="preserve">Vesting Commencement Dates.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Grant</w:t>
            </w:r>
          </w:p>
        </w:tc>
        <w:tc>
          <w:tcPr/>
          <w:p>
            <w:pPr>
              <w:pStyle w:val="Compact"/>
            </w:pPr>
            <w:r>
              <w:t xml:space="preserve">Founder</w:t>
            </w:r>
          </w:p>
        </w:tc>
        <w:tc>
          <w:tcPr/>
          <w:p>
            <w:pPr>
              <w:pStyle w:val="Compact"/>
            </w:pPr>
            <w:r>
              <w:t xml:space="preserve">Shares</w:t>
            </w:r>
          </w:p>
        </w:tc>
        <w:tc>
          <w:tcPr/>
          <w:p>
            <w:pPr>
              <w:pStyle w:val="Compact"/>
            </w:pPr>
            <w:r>
              <w:t xml:space="preserve">Vesting Commencement</w:t>
            </w:r>
          </w:p>
        </w:tc>
      </w:tr>
      <w:tr>
        <w:tc>
          <w:tcPr/>
          <w:p>
            <w:pPr>
              <w:pStyle w:val="Compact"/>
            </w:pPr>
            <w:r>
              <w:t xml:space="preserve">Original</w:t>
            </w:r>
          </w:p>
        </w:tc>
        <w:tc>
          <w:tcPr/>
          <w:p>
            <w:pPr>
              <w:pStyle w:val="Compact"/>
            </w:pPr>
            <w:r>
              <w:t xml:space="preserve">Alex</w:t>
            </w:r>
          </w:p>
        </w:tc>
        <w:tc>
          <w:tcPr/>
          <w:p>
            <w:pPr>
              <w:pStyle w:val="Compact"/>
            </w:pPr>
            <w:r>
              <w:t xml:space="preserve">3,150,000</w:t>
            </w:r>
          </w:p>
        </w:tc>
        <w:tc>
          <w:tcPr/>
          <w:p>
            <w:pPr>
              <w:pStyle w:val="Compact"/>
            </w:pPr>
            <w:r>
              <w:t xml:space="preserve">April 13, 2026</w:t>
            </w:r>
          </w:p>
        </w:tc>
      </w:tr>
      <w:tr>
        <w:tc>
          <w:tcPr/>
          <w:p>
            <w:pPr>
              <w:pStyle w:val="Compact"/>
            </w:pPr>
            <w:r>
              <w:t xml:space="preserve">Refresh</w:t>
            </w:r>
          </w:p>
        </w:tc>
        <w:tc>
          <w:tcPr/>
          <w:p>
            <w:pPr>
              <w:pStyle w:val="Compact"/>
            </w:pPr>
            <w:r>
              <w:t xml:space="preserve">Alex</w:t>
            </w:r>
          </w:p>
        </w:tc>
        <w:tc>
          <w:tcPr/>
          <w:p>
            <w:pPr>
              <w:pStyle w:val="Compact"/>
            </w:pPr>
            <w:r>
              <w:t xml:space="preserve">141,428</w:t>
            </w:r>
          </w:p>
        </w:tc>
        <w:tc>
          <w:tcPr/>
          <w:p>
            <w:pPr>
              <w:pStyle w:val="Compact"/>
            </w:pPr>
            <w:r>
              <w:t xml:space="preserve">[Refresh Date]</w:t>
            </w:r>
          </w:p>
        </w:tc>
      </w:tr>
      <w:tr>
        <w:tc>
          <w:tcPr/>
          <w:p>
            <w:pPr>
              <w:pStyle w:val="Compact"/>
            </w:pPr>
            <w:r>
              <w:t xml:space="preserve">Original</w:t>
            </w:r>
          </w:p>
        </w:tc>
        <w:tc>
          <w:tcPr/>
          <w:p>
            <w:pPr>
              <w:pStyle w:val="Compact"/>
            </w:pPr>
            <w:r>
              <w:t xml:space="preserve">Jason</w:t>
            </w:r>
          </w:p>
        </w:tc>
        <w:tc>
          <w:tcPr/>
          <w:p>
            <w:pPr>
              <w:pStyle w:val="Compact"/>
            </w:pPr>
            <w:r>
              <w:t xml:space="preserve">2,970,000</w:t>
            </w:r>
          </w:p>
        </w:tc>
        <w:tc>
          <w:tcPr/>
          <w:p>
            <w:pPr>
              <w:pStyle w:val="Compact"/>
            </w:pPr>
            <w:r>
              <w:t xml:space="preserve">April 13, 2026</w:t>
            </w:r>
          </w:p>
        </w:tc>
      </w:tr>
      <w:tr>
        <w:tc>
          <w:tcPr/>
          <w:p>
            <w:pPr>
              <w:pStyle w:val="Compact"/>
            </w:pPr>
            <w:r>
              <w:t xml:space="preserve">Refresh</w:t>
            </w:r>
          </w:p>
        </w:tc>
        <w:tc>
          <w:tcPr/>
          <w:p>
            <w:pPr>
              <w:pStyle w:val="Compact"/>
            </w:pPr>
            <w:r>
              <w:t xml:space="preserve">Jason</w:t>
            </w:r>
          </w:p>
        </w:tc>
        <w:tc>
          <w:tcPr/>
          <w:p>
            <w:pPr>
              <w:pStyle w:val="Compact"/>
            </w:pPr>
            <w:r>
              <w:t xml:space="preserve">184,286</w:t>
            </w:r>
          </w:p>
        </w:tc>
        <w:tc>
          <w:tcPr/>
          <w:p>
            <w:pPr>
              <w:pStyle w:val="Compact"/>
            </w:pPr>
            <w:r>
              <w:t xml:space="preserve">[Refresh Date]</w:t>
            </w:r>
          </w:p>
        </w:tc>
      </w:tr>
      <w:tr>
        <w:tc>
          <w:tcPr/>
          <w:p>
            <w:pPr>
              <w:pStyle w:val="Compact"/>
            </w:pPr>
            <w:r>
              <w:t xml:space="preserve">Original</w:t>
            </w:r>
          </w:p>
        </w:tc>
        <w:tc>
          <w:tcPr/>
          <w:p>
            <w:pPr>
              <w:pStyle w:val="Compact"/>
            </w:pPr>
            <w:r>
              <w:t xml:space="preserve">Dawon</w:t>
            </w:r>
          </w:p>
        </w:tc>
        <w:tc>
          <w:tcPr/>
          <w:p>
            <w:pPr>
              <w:pStyle w:val="Compact"/>
            </w:pPr>
            <w:r>
              <w:t xml:space="preserve">2,880,000</w:t>
            </w:r>
          </w:p>
        </w:tc>
        <w:tc>
          <w:tcPr/>
          <w:p>
            <w:pPr>
              <w:pStyle w:val="Compact"/>
            </w:pPr>
            <w:r>
              <w:t xml:space="preserve">April 13, 2026</w:t>
            </w:r>
          </w:p>
        </w:tc>
      </w:tr>
      <w:tr>
        <w:tc>
          <w:tcPr/>
          <w:p>
            <w:pPr>
              <w:pStyle w:val="Compact"/>
            </w:pPr>
            <w:r>
              <w:t xml:space="preserve">New</w:t>
            </w:r>
          </w:p>
        </w:tc>
        <w:tc>
          <w:tcPr/>
          <w:p>
            <w:pPr>
              <w:pStyle w:val="Compact"/>
            </w:pPr>
            <w:r>
              <w:t xml:space="preserve">Justin</w:t>
            </w:r>
          </w:p>
        </w:tc>
        <w:tc>
          <w:tcPr/>
          <w:p>
            <w:pPr>
              <w:pStyle w:val="Compact"/>
            </w:pPr>
            <w:r>
              <w:t xml:space="preserve">3,017,143</w:t>
            </w:r>
          </w:p>
        </w:tc>
        <w:tc>
          <w:tcPr/>
          <w:p>
            <w:pPr>
              <w:pStyle w:val="Compact"/>
            </w:pPr>
            <w:r>
              <w:t xml:space="preserve">[Justin RSPA Date]</w:t>
            </w:r>
          </w:p>
        </w:tc>
      </w:tr>
    </w:tbl>
    <w:p>
      <w:pPr>
        <w:pStyle w:val="BodyText"/>
      </w:pPr>
      <w:r>
        <w:t xml:space="preserve">4.3</w:t>
      </w:r>
      <w:r>
        <w:t xml:space="preserve"> </w:t>
      </w:r>
      <w:r>
        <w:rPr>
          <w:b/>
          <w:bCs/>
        </w:rPr>
        <w:t xml:space="preserve">Repurchase Option.</w:t>
      </w:r>
      <w:r>
        <w:t xml:space="preserve"> </w:t>
      </w:r>
      <w:r>
        <w:t xml:space="preserve">All unvested shares are subject to the Company's Repurchase Option as set forth in each Founder's Restricted Stock Purchase Agreement, exercisable at the original purchase price for a period of ninety (90) days following termination of continuous service.</w:t>
      </w:r>
    </w:p>
    <w:p>
      <w:r>
        <w:pict>
          <v:rect style="width:0;height:1.5pt" o:hralign="center" o:hrstd="t" o:hr="t"/>
        </w:pict>
      </w:r>
    </w:p>
    <w:bookmarkEnd w:id="13"/>
    <w:bookmarkStart w:id="14" w:name="article-5-right-of-first-refusal"/>
    <w:p>
      <w:pPr>
        <w:pStyle w:val="Heading2"/>
      </w:pPr>
      <w:r>
        <w:t xml:space="preserve">ARTICLE 5. RIGHT OF FIRST REFUSAL</w:t>
      </w:r>
    </w:p>
    <w:p>
      <w:pPr>
        <w:pStyle w:val="FirstParagraph"/>
      </w:pPr>
      <w:r>
        <w:t xml:space="preserve">5.1</w:t>
      </w:r>
      <w:r>
        <w:t xml:space="preserve"> </w:t>
      </w:r>
      <w:r>
        <w:rPr>
          <w:b/>
          <w:bCs/>
        </w:rPr>
        <w:t xml:space="preserve">Company ROFR.</w:t>
      </w:r>
      <w:r>
        <w:t xml:space="preserve"> </w:t>
      </w:r>
      <w:r>
        <w:t xml:space="preserve">In the event any Founder proposes to transfer all or any portion of his or her vested shares of Common Stock to any third party, the Company shall have a right of first refusal to purchase such shares on the same terms and conditions proposed by the third party.</w:t>
      </w:r>
    </w:p>
    <w:p>
      <w:pPr>
        <w:pStyle w:val="BodyText"/>
      </w:pPr>
      <w:r>
        <w:t xml:space="preserve">5.2</w:t>
      </w:r>
      <w:r>
        <w:t xml:space="preserve"> </w:t>
      </w:r>
      <w:r>
        <w:rPr>
          <w:b/>
          <w:bCs/>
        </w:rPr>
        <w:t xml:space="preserve">Founder Secondary ROFR.</w:t>
      </w:r>
      <w:r>
        <w:t xml:space="preserve"> </w:t>
      </w:r>
      <w:r>
        <w:t xml:space="preserve">If the Company does not exercise its right of first refusal in full within thirty (30) days after receipt of the transfer notice, the other Founders shall have a secondary right of first refusal, exercisable pro rata to their respective holdings of Common Stock, on the same terms and conditions.</w:t>
      </w:r>
    </w:p>
    <w:p>
      <w:pPr>
        <w:pStyle w:val="BodyText"/>
      </w:pPr>
      <w:r>
        <w:t xml:space="preserve">5.3</w:t>
      </w:r>
      <w:r>
        <w:t xml:space="preserve"> </w:t>
      </w:r>
      <w:r>
        <w:rPr>
          <w:b/>
          <w:bCs/>
        </w:rPr>
        <w:t xml:space="preserve">Permitted Transfers.</w:t>
      </w:r>
      <w:r>
        <w:t xml:space="preserve"> </w:t>
      </w:r>
      <w:r>
        <w:t xml:space="preserve">The right of first refusal in this Article 5 shall not apply to transfers to a Founder's spouse, lineal descendants, or a trust for the benefit of any of the foregoing for estate planning purposes, provided that the transferee agrees in writing to be bound by this Agreement.</w:t>
      </w:r>
    </w:p>
    <w:p>
      <w:r>
        <w:pict>
          <v:rect style="width:0;height:1.5pt" o:hralign="center" o:hrstd="t" o:hr="t"/>
        </w:pict>
      </w:r>
    </w:p>
    <w:bookmarkEnd w:id="14"/>
    <w:bookmarkStart w:id="15" w:name="article-6-drag-along"/>
    <w:p>
      <w:pPr>
        <w:pStyle w:val="Heading2"/>
      </w:pPr>
      <w:r>
        <w:t xml:space="preserve">ARTICLE 6. DRAG-ALONG</w:t>
      </w:r>
    </w:p>
    <w:p>
      <w:pPr>
        <w:pStyle w:val="FirstParagraph"/>
      </w:pPr>
      <w:r>
        <w:t xml:space="preserve">6.1 In the event of a proposed sale of the Company approved by Founders holding at least seventy-five percent (75%) of the outstanding Common Stock held by the Founders, all Founders agree to vote their shares in favor of such transaction and to participate in such sale on substantially the same terms as the approving Founders.</w:t>
      </w:r>
    </w:p>
    <w:p>
      <w:r>
        <w:pict>
          <v:rect style="width:0;height:1.5pt" o:hralign="center" o:hrstd="t" o:hr="t"/>
        </w:pict>
      </w:r>
    </w:p>
    <w:bookmarkEnd w:id="15"/>
    <w:bookmarkStart w:id="16" w:name="article-7-tag-along"/>
    <w:p>
      <w:pPr>
        <w:pStyle w:val="Heading2"/>
      </w:pPr>
      <w:r>
        <w:t xml:space="preserve">ARTICLE 7. TAG-ALONG</w:t>
      </w:r>
    </w:p>
    <w:p>
      <w:pPr>
        <w:pStyle w:val="FirstParagraph"/>
      </w:pPr>
      <w:r>
        <w:t xml:space="preserve">7.1 In the event any Founder proposes to transfer shares representing more than ten percent (10%) of the outstanding Common Stock to a third party (other than via a transfer permitted under Section 5.3), the other Founders shall have the right to participate in such transfer on a pro rata basis on the same terms and conditions as the proposing Founder.</w:t>
      </w:r>
    </w:p>
    <w:p>
      <w:r>
        <w:pict>
          <v:rect style="width:0;height:1.5pt" o:hralign="center" o:hrstd="t" o:hr="t"/>
        </w:pict>
      </w:r>
    </w:p>
    <w:bookmarkEnd w:id="16"/>
    <w:bookmarkStart w:id="17" w:name="X9c41f2d946eedd5e5497b854d8ea5e9d8167046"/>
    <w:p>
      <w:pPr>
        <w:pStyle w:val="Heading2"/>
      </w:pPr>
      <w:r>
        <w:t xml:space="preserve">ARTICLE 8. CONFIDENTIALITY AND IP ASSIGNMENT</w:t>
      </w:r>
    </w:p>
    <w:p>
      <w:pPr>
        <w:pStyle w:val="FirstParagraph"/>
      </w:pPr>
      <w:r>
        <w:t xml:space="preserve">8.1</w:t>
      </w:r>
      <w:r>
        <w:t xml:space="preserve"> </w:t>
      </w:r>
      <w:r>
        <w:rPr>
          <w:b/>
          <w:bCs/>
        </w:rPr>
        <w:t xml:space="preserve">CIIAA.</w:t>
      </w:r>
      <w:r>
        <w:t xml:space="preserve"> </w:t>
      </w:r>
      <w:r>
        <w:t xml:space="preserve">Each Founder shall execute a Confidential Information and Invention Assignment Agreement (the "</w:t>
      </w:r>
      <w:r>
        <w:rPr>
          <w:b/>
          <w:bCs/>
        </w:rPr>
        <w:t xml:space="preserve">CIIAA</w:t>
      </w:r>
      <w:r>
        <w:t xml:space="preserve">") with the Company in connection with this Agreement.</w:t>
      </w:r>
    </w:p>
    <w:p>
      <w:pPr>
        <w:pStyle w:val="BodyText"/>
      </w:pPr>
      <w:r>
        <w:t xml:space="preserve">8.2</w:t>
      </w:r>
      <w:r>
        <w:t xml:space="preserve"> </w:t>
      </w:r>
      <w:r>
        <w:rPr>
          <w:b/>
          <w:bCs/>
        </w:rPr>
        <w:t xml:space="preserve">Confidentiality.</w:t>
      </w:r>
      <w:r>
        <w:t xml:space="preserve"> </w:t>
      </w:r>
      <w:r>
        <w:t xml:space="preserve">Each Founder acknowledges that all confidential information of the Company shall be held in confidence and used solely for the benefit of the Company.</w:t>
      </w:r>
    </w:p>
    <w:p>
      <w:r>
        <w:pict>
          <v:rect style="width:0;height:1.5pt" o:hralign="center" o:hrstd="t" o:hr="t"/>
        </w:pict>
      </w:r>
    </w:p>
    <w:bookmarkEnd w:id="17"/>
    <w:bookmarkStart w:id="18" w:name="Xaeaf007552ede4b6434f4da58edf751d42dff55"/>
    <w:p>
      <w:pPr>
        <w:pStyle w:val="Heading2"/>
      </w:pPr>
      <w:r>
        <w:t xml:space="preserve">ARTICLE 9. NON-COMPETITION AND NON-SOLICITATION</w:t>
      </w:r>
    </w:p>
    <w:p>
      <w:pPr>
        <w:pStyle w:val="FirstParagraph"/>
      </w:pPr>
      <w:r>
        <w:t xml:space="preserve">9.1</w:t>
      </w:r>
      <w:r>
        <w:t xml:space="preserve"> </w:t>
      </w:r>
      <w:r>
        <w:rPr>
          <w:b/>
          <w:bCs/>
        </w:rPr>
        <w:t xml:space="preserve">Non-Competition.</w:t>
      </w:r>
      <w:r>
        <w:t xml:space="preserve"> </w:t>
      </w:r>
      <w:r>
        <w:t xml:space="preserve">During the period of the Founder's continuous service to the Company and for twelve (12) months thereafter, each Founder agrees not to directly engage in or provide services to any business that competes with the Company in the daily synbiotic supplement category in the United States market, except as may be expressly agreed in writing by the other Founders. The restriction in this Section 9.1 shall be limited to the maximum extent permitted by applicable law and shall not apply where prohibited by the laws of the Founder's primary place of work, including without limitation the laws of the State of California.</w:t>
      </w:r>
    </w:p>
    <w:p>
      <w:pPr>
        <w:pStyle w:val="BodyText"/>
      </w:pPr>
      <w:r>
        <w:t xml:space="preserve">9.2</w:t>
      </w:r>
      <w:r>
        <w:t xml:space="preserve"> </w:t>
      </w:r>
      <w:r>
        <w:rPr>
          <w:b/>
          <w:bCs/>
        </w:rPr>
        <w:t xml:space="preserve">Non-Solicitation.</w:t>
      </w:r>
      <w:r>
        <w:t xml:space="preserve"> </w:t>
      </w:r>
      <w:r>
        <w:t xml:space="preserve">During the period of the Founder's continuous service to the Company and for twelve (12) months thereafter, each Founder agrees not to solicit any employee, contractor, or customer of the Company for any competing purpose.</w:t>
      </w:r>
    </w:p>
    <w:p>
      <w:r>
        <w:pict>
          <v:rect style="width:0;height:1.5pt" o:hralign="center" o:hrstd="t" o:hr="t"/>
        </w:pict>
      </w:r>
    </w:p>
    <w:bookmarkEnd w:id="18"/>
    <w:bookmarkStart w:id="19" w:name="article-10-governance"/>
    <w:p>
      <w:pPr>
        <w:pStyle w:val="Heading2"/>
      </w:pPr>
      <w:r>
        <w:t xml:space="preserve">ARTICLE 10. GOVERNANCE</w:t>
      </w:r>
    </w:p>
    <w:p>
      <w:pPr>
        <w:pStyle w:val="FirstParagraph"/>
      </w:pPr>
      <w:r>
        <w:t xml:space="preserve">10.1</w:t>
      </w:r>
      <w:r>
        <w:t xml:space="preserve"> </w:t>
      </w:r>
      <w:r>
        <w:rPr>
          <w:b/>
          <w:bCs/>
        </w:rPr>
        <w:t xml:space="preserve">Board of Directors.</w:t>
      </w:r>
      <w:r>
        <w:t xml:space="preserve"> </w:t>
      </w:r>
      <w:r>
        <w:t xml:space="preserve">The Board of Directors of the Company shall consist of one (1) member, Alex, in his capacity as Sole Director, until expanded by future investor agreement or unanimous Founder consent.</w:t>
      </w:r>
    </w:p>
    <w:p>
      <w:pPr>
        <w:pStyle w:val="BodyText"/>
      </w:pPr>
      <w:r>
        <w:t xml:space="preserve">10.2</w:t>
      </w:r>
      <w:r>
        <w:t xml:space="preserve"> </w:t>
      </w:r>
      <w:r>
        <w:rPr>
          <w:b/>
          <w:bCs/>
        </w:rPr>
        <w:t xml:space="preserve">Officers.</w:t>
      </w:r>
      <w:r>
        <w:t xml:space="preserve"> </w:t>
      </w:r>
      <w:r>
        <w:t xml:space="preserve">The officers of the Company are as set forth in Section 3.1.</w:t>
      </w:r>
    </w:p>
    <w:p>
      <w:r>
        <w:pict>
          <v:rect style="width:0;height:1.5pt" o:hralign="center" o:hrstd="t" o:hr="t"/>
        </w:pict>
      </w:r>
    </w:p>
    <w:bookmarkEnd w:id="19"/>
    <w:bookmarkStart w:id="20" w:name="article-11-amendment"/>
    <w:p>
      <w:pPr>
        <w:pStyle w:val="Heading2"/>
      </w:pPr>
      <w:r>
        <w:t xml:space="preserve">ARTICLE 11. AMENDMENT</w:t>
      </w:r>
    </w:p>
    <w:p>
      <w:pPr>
        <w:pStyle w:val="FirstParagraph"/>
      </w:pPr>
      <w:r>
        <w:t xml:space="preserve">11.1 This Agreement may be amended only by a written instrument signed by the Company and Founders holding at least seventy-five percent (75%) of the outstanding Common Stock held by the Founders.</w:t>
      </w:r>
    </w:p>
    <w:p>
      <w:r>
        <w:pict>
          <v:rect style="width:0;height:1.5pt" o:hralign="center" o:hrstd="t" o:hr="t"/>
        </w:pict>
      </w:r>
    </w:p>
    <w:bookmarkEnd w:id="20"/>
    <w:bookmarkStart w:id="21" w:name="article-12-succession"/>
    <w:p>
      <w:pPr>
        <w:pStyle w:val="Heading2"/>
      </w:pPr>
      <w:r>
        <w:t xml:space="preserve">ARTICLE 12. SUCCESSION</w:t>
      </w:r>
    </w:p>
    <w:p>
      <w:pPr>
        <w:pStyle w:val="FirstParagraph"/>
      </w:pPr>
      <w:r>
        <w:t xml:space="preserve">12.1 This Agreement supersedes and replaces in its entirety the Co-Founder Agreement v2 dated April 13, 2026.</w:t>
      </w:r>
    </w:p>
    <w:p>
      <w:r>
        <w:pict>
          <v:rect style="width:0;height:1.5pt" o:hralign="center" o:hrstd="t" o:hr="t"/>
        </w:pict>
      </w:r>
    </w:p>
    <w:bookmarkEnd w:id="21"/>
    <w:bookmarkStart w:id="22" w:name="article-13-miscellaneous"/>
    <w:p>
      <w:pPr>
        <w:pStyle w:val="Heading2"/>
      </w:pPr>
      <w:r>
        <w:t xml:space="preserve">ARTICLE 13. MISCELLANEOUS</w:t>
      </w:r>
    </w:p>
    <w:p>
      <w:pPr>
        <w:pStyle w:val="FirstParagraph"/>
      </w:pPr>
      <w:r>
        <w:t xml:space="preserve">13.1</w:t>
      </w:r>
      <w:r>
        <w:t xml:space="preserve"> </w:t>
      </w:r>
      <w:r>
        <w:rPr>
          <w:b/>
          <w:bCs/>
        </w:rPr>
        <w:t xml:space="preserve">Governing Law.</w:t>
      </w:r>
      <w:r>
        <w:t xml:space="preserve"> </w:t>
      </w:r>
      <w:r>
        <w:t xml:space="preserve">This Agreement shall be governed by and construed in accordance with the laws of the State of Delaware, without regard to its conflicts of law principles.</w:t>
      </w:r>
    </w:p>
    <w:p>
      <w:pPr>
        <w:pStyle w:val="BodyText"/>
      </w:pPr>
      <w:r>
        <w:t xml:space="preserve">13.2</w:t>
      </w:r>
      <w:r>
        <w:t xml:space="preserve"> </w:t>
      </w:r>
      <w:r>
        <w:rPr>
          <w:b/>
          <w:bCs/>
        </w:rPr>
        <w:t xml:space="preserve">Counterparts.</w:t>
      </w:r>
      <w:r>
        <w:t xml:space="preserve"> </w:t>
      </w:r>
      <w:r>
        <w:t xml:space="preserve">This Agreement may be executed in counterparts, including by electronic signature, each of which shall be deemed an original, and all of which together shall constitute one and the same instrument.</w:t>
      </w:r>
    </w:p>
    <w:p>
      <w:pPr>
        <w:pStyle w:val="BodyText"/>
      </w:pPr>
      <w:r>
        <w:t xml:space="preserve">13.3</w:t>
      </w:r>
      <w:r>
        <w:t xml:space="preserve"> </w:t>
      </w:r>
      <w:r>
        <w:rPr>
          <w:b/>
          <w:bCs/>
        </w:rPr>
        <w:t xml:space="preserve">Entire Agreement.</w:t>
      </w:r>
      <w:r>
        <w:t xml:space="preserve"> </w:t>
      </w:r>
      <w:r>
        <w:t xml:space="preserve">This Agreement, together with the Restricted Stock Purchase Agreements, the CIIAAs, the Certificate of Incorporation (as amended), and the Bylaws, constitutes the entire agreement among the parties with respect to the subject matter hereof.</w:t>
      </w:r>
    </w:p>
    <w:p>
      <w:pPr>
        <w:pStyle w:val="BodyText"/>
      </w:pPr>
      <w:r>
        <w:t xml:space="preserve">13.4</w:t>
      </w:r>
      <w:r>
        <w:t xml:space="preserve"> </w:t>
      </w:r>
      <w:r>
        <w:rPr>
          <w:b/>
          <w:bCs/>
        </w:rPr>
        <w:t xml:space="preserve">Severability.</w:t>
      </w:r>
      <w:r>
        <w:t xml:space="preserve"> </w:t>
      </w:r>
      <w:r>
        <w:t xml:space="preserve">If any provision of this Agreement is held to be invalid or unenforceable, the remaining provisions shall continue in full force and effect.</w:t>
      </w:r>
    </w:p>
    <w:p>
      <w:r>
        <w:pict>
          <v:rect style="width:0;height:1.5pt" o:hralign="center" o:hrstd="t" o:hr="t"/>
        </w:pict>
      </w:r>
    </w:p>
    <w:p>
      <w:pPr>
        <w:pStyle w:val="FirstParagraph"/>
      </w:pPr>
      <w:r>
        <w:rPr>
          <w:b/>
          <w:bCs/>
        </w:rPr>
        <w:t xml:space="preserve">IN WITNESS WHEREOF</w:t>
      </w:r>
      <w:r>
        <w:t xml:space="preserve">, the parties have executed this Amended and Restated Co-Founder Agreement as of the Effective Date.</w:t>
      </w:r>
    </w:p>
    <w:p>
      <w:pPr>
        <w:pStyle w:val="BodyText"/>
      </w:pPr>
      <w:r>
        <w:t xml:space="preserve">\</w:t>
      </w:r>
    </w:p>
    <w:p>
      <w:pPr>
        <w:pStyle w:val="BodyText"/>
      </w:pPr>
      <w:r>
        <w:rPr>
          <w:b/>
          <w:bCs/>
        </w:rPr>
        <w:t xml:space="preserve">COMPANY:</w:t>
      </w:r>
    </w:p>
    <w:p>
      <w:pPr>
        <w:pStyle w:val="BodyText"/>
      </w:pPr>
      <w:r>
        <w:t xml:space="preserve">PHEEEW, INC.</w:t>
      </w:r>
    </w:p>
    <w:p>
      <w:pPr>
        <w:pStyle w:val="BodyText"/>
      </w:pPr>
      <w:r>
        <w:t xml:space="preserve">By: ________________________________________</w:t>
      </w:r>
    </w:p>
    <w:p>
      <w:pPr>
        <w:pStyle w:val="BodyText"/>
      </w:pPr>
      <w:r>
        <w:rPr>
          <w:b/>
          <w:bCs/>
        </w:rPr>
        <w:t xml:space="preserve">Seungjoon Kim</w:t>
      </w:r>
      <w:r>
        <w:t xml:space="preserve"> </w:t>
      </w:r>
      <w:r>
        <w:rPr>
          <w:i/>
          <w:iCs/>
        </w:rPr>
        <w:t xml:space="preserve">President, Chief Executive Officer &amp; Sole Director</w:t>
      </w:r>
    </w:p>
    <w:p>
      <w:pPr>
        <w:pStyle w:val="BodyText"/>
      </w:pPr>
      <w:r>
        <w:t xml:space="preserve">Date: _____________</w:t>
      </w:r>
    </w:p>
    <w:p>
      <w:pPr>
        <w:pStyle w:val="BodyText"/>
      </w:pPr>
      <w:r>
        <w:t xml:space="preserve">\</w:t>
      </w:r>
    </w:p>
    <w:p>
      <w:pPr>
        <w:pStyle w:val="BodyText"/>
      </w:pPr>
      <w:r>
        <w:rPr>
          <w:b/>
          <w:bCs/>
        </w:rPr>
        <w:t xml:space="preserve">FOUNDERS:</w:t>
      </w:r>
    </w:p>
    <w:p>
      <w:pPr>
        <w:pStyle w:val="BodyText"/>
      </w:pPr>
      <w:r>
        <w:t xml:space="preserve">________________________________________</w:t>
      </w:r>
    </w:p>
    <w:p>
      <w:pPr>
        <w:pStyle w:val="BodyText"/>
      </w:pPr>
      <w:r>
        <w:rPr>
          <w:b/>
          <w:bCs/>
        </w:rPr>
        <w:t xml:space="preserve">Seungjoon Kim</w:t>
      </w:r>
      <w:r>
        <w:t xml:space="preserve"> </w:t>
      </w:r>
      <w:r>
        <w:t xml:space="preserve">("Alex")</w:t>
      </w:r>
      <w:r>
        <w:t xml:space="preserve"> </w:t>
      </w:r>
      <w:r>
        <w:rPr>
          <w:i/>
          <w:iCs/>
        </w:rPr>
        <w:t xml:space="preserve">individually</w:t>
      </w:r>
    </w:p>
    <w:p>
      <w:pPr>
        <w:pStyle w:val="BodyText"/>
      </w:pPr>
      <w:r>
        <w:t xml:space="preserve">Date: _____________</w:t>
      </w:r>
    </w:p>
    <w:p>
      <w:pPr>
        <w:pStyle w:val="BodyText"/>
      </w:pPr>
      <w:r>
        <w:t xml:space="preserve">\</w:t>
      </w:r>
    </w:p>
    <w:p>
      <w:pPr>
        <w:pStyle w:val="BodyText"/>
      </w:pPr>
      <w:r>
        <w:t xml:space="preserve">________________________________________</w:t>
      </w:r>
    </w:p>
    <w:p>
      <w:pPr>
        <w:pStyle w:val="BodyText"/>
      </w:pPr>
      <w:r>
        <w:rPr>
          <w:b/>
          <w:bCs/>
        </w:rPr>
        <w:t xml:space="preserve">Jason Ko</w:t>
      </w:r>
      <w:r>
        <w:t xml:space="preserve"> </w:t>
      </w:r>
      <w:r>
        <w:rPr>
          <w:i/>
          <w:iCs/>
        </w:rPr>
        <w:t xml:space="preserve">individually</w:t>
      </w:r>
    </w:p>
    <w:p>
      <w:pPr>
        <w:pStyle w:val="BodyText"/>
      </w:pPr>
      <w:r>
        <w:t xml:space="preserve">Date: _____________</w:t>
      </w:r>
    </w:p>
    <w:p>
      <w:pPr>
        <w:pStyle w:val="BodyText"/>
      </w:pPr>
      <w:r>
        <w:t xml:space="preserve">\</w:t>
      </w:r>
    </w:p>
    <w:p>
      <w:pPr>
        <w:pStyle w:val="BodyText"/>
      </w:pPr>
      <w:r>
        <w:t xml:space="preserve">________________________________________</w:t>
      </w:r>
    </w:p>
    <w:p>
      <w:pPr>
        <w:pStyle w:val="BodyText"/>
      </w:pPr>
      <w:r>
        <w:rPr>
          <w:b/>
          <w:bCs/>
        </w:rPr>
        <w:t xml:space="preserve">Dawon Kim</w:t>
      </w:r>
      <w:r>
        <w:t xml:space="preserve"> </w:t>
      </w:r>
      <w:r>
        <w:rPr>
          <w:i/>
          <w:iCs/>
        </w:rPr>
        <w:t xml:space="preserve">individually</w:t>
      </w:r>
    </w:p>
    <w:p>
      <w:pPr>
        <w:pStyle w:val="BodyText"/>
      </w:pPr>
      <w:r>
        <w:t xml:space="preserve">Date: _____________</w:t>
      </w:r>
    </w:p>
    <w:p>
      <w:pPr>
        <w:pStyle w:val="BodyText"/>
      </w:pPr>
      <w:r>
        <w:t xml:space="preserve">\</w:t>
      </w:r>
    </w:p>
    <w:p>
      <w:pPr>
        <w:pStyle w:val="BodyText"/>
      </w:pPr>
      <w:r>
        <w:t xml:space="preserve">________________________________________</w:t>
      </w:r>
    </w:p>
    <w:p>
      <w:pPr>
        <w:pStyle w:val="BodyText"/>
      </w:pPr>
      <w:r>
        <w:rPr>
          <w:b/>
          <w:bCs/>
        </w:rPr>
        <w:t xml:space="preserve">Junhyuk Kim</w:t>
      </w:r>
      <w:r>
        <w:t xml:space="preserve"> </w:t>
      </w:r>
      <w:r>
        <w:t xml:space="preserve">("Justin")</w:t>
      </w:r>
      <w:r>
        <w:t xml:space="preserve"> </w:t>
      </w:r>
      <w:r>
        <w:rPr>
          <w:i/>
          <w:iCs/>
        </w:rPr>
        <w:t xml:space="preserve">individually</w:t>
      </w:r>
    </w:p>
    <w:p>
      <w:pPr>
        <w:pStyle w:val="BodyText"/>
      </w:pPr>
      <w:r>
        <w:t xml:space="preserve">Date: _____________</w:t>
      </w:r>
    </w:p>
    <w:bookmarkEnd w:id="22"/>
    <w:bookmarkEnd w:id="2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160" w:before="0" w:line="300" w:lineRule="auto"/>
      <w:jc w:val="both"/>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both"/>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2026-05-07T05:12:01Z</dcterms:created>
  <dcterms:modified xsi:type="dcterms:W3CDTF">2026-05-07T05:12:01Z</dcterms:modified>
</cp:coreProperties>
</file>

<file path=docProps/custom.xml><?xml version="1.0" encoding="utf-8"?>
<Properties xmlns="http://schemas.openxmlformats.org/officeDocument/2006/custom-properties" xmlns:vt="http://schemas.openxmlformats.org/officeDocument/2006/docPropsVTypes"/>
</file>